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黑体" w:hAnsi="黑体" w:eastAsia="黑体"/>
          <w:sz w:val="32"/>
          <w:szCs w:val="32"/>
        </w:rPr>
      </w:pPr>
      <w:bookmarkStart w:id="2" w:name="_GoBack"/>
      <w:bookmarkEnd w:id="2"/>
      <w:r>
        <w:rPr>
          <w:rFonts w:hint="eastAsia" w:ascii="黑体" w:hAnsi="黑体" w:eastAsia="黑体"/>
          <w:sz w:val="32"/>
          <w:szCs w:val="32"/>
        </w:rPr>
        <w:t xml:space="preserve">附件2 </w:t>
      </w:r>
    </w:p>
    <w:p>
      <w:pPr>
        <w:widowControl/>
        <w:spacing w:line="500" w:lineRule="exact"/>
        <w:jc w:val="left"/>
        <w:rPr>
          <w:rFonts w:eastAsia="黑体"/>
          <w:szCs w:val="21"/>
        </w:rPr>
      </w:pPr>
    </w:p>
    <w:p>
      <w:pPr>
        <w:spacing w:line="560" w:lineRule="exact"/>
        <w:jc w:val="center"/>
        <w:rPr>
          <w:rFonts w:eastAsia="方正小标宋简体"/>
          <w:sz w:val="44"/>
          <w:szCs w:val="44"/>
        </w:rPr>
      </w:pPr>
      <w:r>
        <w:rPr>
          <w:rFonts w:hint="eastAsia" w:eastAsia="方正小标宋简体"/>
          <w:sz w:val="44"/>
          <w:szCs w:val="44"/>
        </w:rPr>
        <w:t>食品快速检测方法申报表</w:t>
      </w:r>
    </w:p>
    <w:p>
      <w:pPr>
        <w:spacing w:line="240" w:lineRule="exact"/>
        <w:jc w:val="center"/>
        <w:rPr>
          <w:szCs w:val="21"/>
        </w:rPr>
      </w:pPr>
    </w:p>
    <w:p>
      <w:pPr>
        <w:ind w:firstLine="160" w:firstLineChars="50"/>
        <w:jc w:val="left"/>
        <w:rPr>
          <w:rFonts w:ascii="楷体_GB2312" w:eastAsia="楷体_GB2312"/>
          <w:bCs/>
          <w:sz w:val="32"/>
          <w:szCs w:val="32"/>
        </w:rPr>
      </w:pPr>
      <w:r>
        <w:rPr>
          <w:rFonts w:hint="eastAsia" w:ascii="楷体_GB2312" w:eastAsia="楷体_GB2312"/>
          <w:bCs/>
          <w:sz w:val="32"/>
          <w:szCs w:val="32"/>
        </w:rPr>
        <w:t>申报单位（盖章）：</w:t>
      </w:r>
    </w:p>
    <w:tbl>
      <w:tblPr>
        <w:tblStyle w:val="5"/>
        <w:tblW w:w="862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07"/>
        <w:gridCol w:w="65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8" w:hRule="atLeast"/>
          <w:jc w:val="center"/>
        </w:trPr>
        <w:tc>
          <w:tcPr>
            <w:tcW w:w="2107" w:type="dxa"/>
            <w:vAlign w:val="center"/>
          </w:tcPr>
          <w:p>
            <w:pPr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hint="eastAsia" w:eastAsia="黑体"/>
                <w:bCs/>
                <w:sz w:val="32"/>
                <w:szCs w:val="32"/>
              </w:rPr>
              <w:t>方法名称</w:t>
            </w:r>
          </w:p>
        </w:tc>
        <w:tc>
          <w:tcPr>
            <w:tcW w:w="6521" w:type="dxa"/>
            <w:vAlign w:val="center"/>
          </w:tcPr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07" w:type="dxa"/>
            <w:vAlign w:val="center"/>
          </w:tcPr>
          <w:p>
            <w:pPr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hint="eastAsia" w:eastAsia="黑体"/>
                <w:bCs/>
                <w:sz w:val="32"/>
                <w:szCs w:val="32"/>
              </w:rPr>
              <w:t>申报单位</w:t>
            </w:r>
          </w:p>
          <w:p>
            <w:pPr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hint="eastAsia" w:eastAsia="黑体"/>
                <w:bCs/>
                <w:sz w:val="32"/>
                <w:szCs w:val="32"/>
              </w:rPr>
              <w:t>信息</w:t>
            </w:r>
          </w:p>
        </w:tc>
        <w:tc>
          <w:tcPr>
            <w:tcW w:w="6521" w:type="dxa"/>
            <w:vAlign w:val="center"/>
          </w:tcPr>
          <w:p>
            <w:pPr>
              <w:jc w:val="left"/>
              <w:rPr>
                <w:rFonts w:ascii="楷体_GB2312" w:eastAsia="楷体_GB2312"/>
                <w:bCs/>
                <w:sz w:val="30"/>
                <w:szCs w:val="30"/>
              </w:rPr>
            </w:pPr>
            <w:r>
              <w:rPr>
                <w:rFonts w:hint="eastAsia" w:ascii="楷体_GB2312" w:eastAsia="楷体_GB2312"/>
                <w:bCs/>
                <w:sz w:val="30"/>
                <w:szCs w:val="30"/>
              </w:rPr>
              <w:t>单位名称：</w:t>
            </w:r>
          </w:p>
          <w:p>
            <w:pPr>
              <w:jc w:val="left"/>
              <w:rPr>
                <w:rFonts w:ascii="楷体_GB2312" w:eastAsia="楷体_GB2312"/>
                <w:bCs/>
                <w:sz w:val="30"/>
                <w:szCs w:val="30"/>
              </w:rPr>
            </w:pPr>
            <w:r>
              <w:rPr>
                <w:rFonts w:hint="eastAsia" w:ascii="楷体_GB2312" w:eastAsia="楷体_GB2312"/>
                <w:bCs/>
                <w:sz w:val="30"/>
                <w:szCs w:val="30"/>
              </w:rPr>
              <w:t>联 系 人：</w:t>
            </w:r>
          </w:p>
          <w:p>
            <w:pPr>
              <w:jc w:val="left"/>
              <w:rPr>
                <w:rFonts w:ascii="楷体_GB2312" w:eastAsia="楷体_GB2312"/>
                <w:bCs/>
                <w:sz w:val="30"/>
                <w:szCs w:val="30"/>
              </w:rPr>
            </w:pPr>
            <w:r>
              <w:rPr>
                <w:rFonts w:hint="eastAsia" w:ascii="楷体_GB2312" w:eastAsia="楷体_GB2312"/>
                <w:bCs/>
                <w:sz w:val="30"/>
                <w:szCs w:val="30"/>
              </w:rPr>
              <w:t>联系电话：</w:t>
            </w:r>
          </w:p>
          <w:p>
            <w:pPr>
              <w:jc w:val="left"/>
              <w:rPr>
                <w:rFonts w:eastAsia="仿宋"/>
                <w:b/>
                <w:bCs/>
                <w:sz w:val="32"/>
                <w:szCs w:val="32"/>
              </w:rPr>
            </w:pPr>
            <w:r>
              <w:rPr>
                <w:rFonts w:hint="eastAsia" w:ascii="楷体_GB2312" w:eastAsia="楷体_GB2312"/>
                <w:bCs/>
                <w:sz w:val="30"/>
                <w:szCs w:val="30"/>
              </w:rPr>
              <w:t>电子邮箱：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8" w:hRule="atLeast"/>
          <w:jc w:val="center"/>
        </w:trPr>
        <w:tc>
          <w:tcPr>
            <w:tcW w:w="2107" w:type="dxa"/>
            <w:vAlign w:val="center"/>
          </w:tcPr>
          <w:p>
            <w:pPr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hint="eastAsia" w:eastAsia="黑体"/>
                <w:bCs/>
                <w:sz w:val="32"/>
                <w:szCs w:val="32"/>
              </w:rPr>
              <w:t>适用范围</w:t>
            </w:r>
          </w:p>
        </w:tc>
        <w:tc>
          <w:tcPr>
            <w:tcW w:w="6521" w:type="dxa"/>
            <w:vAlign w:val="center"/>
          </w:tcPr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9" w:hRule="atLeast"/>
          <w:jc w:val="center"/>
        </w:trPr>
        <w:tc>
          <w:tcPr>
            <w:tcW w:w="2107" w:type="dxa"/>
            <w:vAlign w:val="center"/>
          </w:tcPr>
          <w:p>
            <w:pPr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hint="eastAsia" w:eastAsia="黑体"/>
                <w:bCs/>
                <w:sz w:val="32"/>
                <w:szCs w:val="32"/>
              </w:rPr>
              <w:t>方法原理</w:t>
            </w:r>
          </w:p>
        </w:tc>
        <w:tc>
          <w:tcPr>
            <w:tcW w:w="6521" w:type="dxa"/>
            <w:vAlign w:val="center"/>
          </w:tcPr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  <w:jc w:val="center"/>
        </w:trPr>
        <w:tc>
          <w:tcPr>
            <w:tcW w:w="2107" w:type="dxa"/>
            <w:vAlign w:val="center"/>
          </w:tcPr>
          <w:p>
            <w:pPr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hint="eastAsia" w:eastAsia="黑体"/>
                <w:bCs/>
                <w:sz w:val="32"/>
                <w:szCs w:val="32"/>
              </w:rPr>
              <w:t>试剂与材料</w:t>
            </w:r>
          </w:p>
        </w:tc>
        <w:tc>
          <w:tcPr>
            <w:tcW w:w="6521" w:type="dxa"/>
            <w:vAlign w:val="center"/>
          </w:tcPr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4" w:hRule="atLeast"/>
          <w:jc w:val="center"/>
        </w:trPr>
        <w:tc>
          <w:tcPr>
            <w:tcW w:w="2107" w:type="dxa"/>
            <w:vAlign w:val="center"/>
          </w:tcPr>
          <w:p>
            <w:pPr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hint="eastAsia" w:eastAsia="黑体"/>
                <w:bCs/>
                <w:sz w:val="32"/>
                <w:szCs w:val="32"/>
              </w:rPr>
              <w:t>环境指标</w:t>
            </w:r>
          </w:p>
        </w:tc>
        <w:tc>
          <w:tcPr>
            <w:tcW w:w="6521" w:type="dxa"/>
            <w:vAlign w:val="center"/>
          </w:tcPr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7" w:hRule="atLeast"/>
          <w:jc w:val="center"/>
        </w:trPr>
        <w:tc>
          <w:tcPr>
            <w:tcW w:w="2107" w:type="dxa"/>
            <w:vAlign w:val="center"/>
          </w:tcPr>
          <w:p>
            <w:pPr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hint="eastAsia" w:eastAsia="黑体"/>
                <w:bCs/>
                <w:sz w:val="32"/>
                <w:szCs w:val="32"/>
              </w:rPr>
              <w:t>样品制备</w:t>
            </w:r>
          </w:p>
        </w:tc>
        <w:tc>
          <w:tcPr>
            <w:tcW w:w="6521" w:type="dxa"/>
            <w:vAlign w:val="center"/>
          </w:tcPr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8" w:hRule="atLeast"/>
          <w:jc w:val="center"/>
        </w:trPr>
        <w:tc>
          <w:tcPr>
            <w:tcW w:w="2107" w:type="dxa"/>
            <w:vAlign w:val="center"/>
          </w:tcPr>
          <w:p>
            <w:pPr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hint="eastAsia" w:eastAsia="黑体"/>
                <w:bCs/>
                <w:sz w:val="32"/>
                <w:szCs w:val="32"/>
              </w:rPr>
              <w:t>分析步骤</w:t>
            </w:r>
          </w:p>
        </w:tc>
        <w:tc>
          <w:tcPr>
            <w:tcW w:w="6521" w:type="dxa"/>
            <w:vAlign w:val="center"/>
          </w:tcPr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07" w:type="dxa"/>
            <w:vAlign w:val="center"/>
          </w:tcPr>
          <w:p>
            <w:pPr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hint="eastAsia" w:eastAsia="黑体"/>
                <w:bCs/>
                <w:sz w:val="32"/>
                <w:szCs w:val="32"/>
              </w:rPr>
              <w:t>结果判定</w:t>
            </w:r>
          </w:p>
        </w:tc>
        <w:tc>
          <w:tcPr>
            <w:tcW w:w="6521" w:type="dxa"/>
            <w:vAlign w:val="center"/>
          </w:tcPr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  <w:p>
            <w:pPr>
              <w:jc w:val="center"/>
              <w:rPr>
                <w:rFonts w:eastAsia="仿宋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07" w:type="dxa"/>
            <w:vAlign w:val="center"/>
          </w:tcPr>
          <w:p>
            <w:pPr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hint="eastAsia" w:eastAsia="黑体"/>
                <w:bCs/>
                <w:sz w:val="32"/>
                <w:szCs w:val="32"/>
              </w:rPr>
              <w:t>方法性能</w:t>
            </w:r>
          </w:p>
          <w:p>
            <w:pPr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hint="eastAsia" w:eastAsia="黑体"/>
                <w:bCs/>
                <w:sz w:val="32"/>
                <w:szCs w:val="32"/>
              </w:rPr>
              <w:t>指标</w:t>
            </w:r>
          </w:p>
        </w:tc>
        <w:tc>
          <w:tcPr>
            <w:tcW w:w="6521" w:type="dxa"/>
            <w:vAlign w:val="center"/>
          </w:tcPr>
          <w:p>
            <w:pPr>
              <w:numPr>
                <w:ilvl w:val="0"/>
                <w:numId w:val="1"/>
              </w:numPr>
              <w:spacing w:line="500" w:lineRule="exact"/>
              <w:jc w:val="left"/>
              <w:rPr>
                <w:rFonts w:eastAsia="楷体_GB2312"/>
                <w:bCs/>
                <w:sz w:val="30"/>
                <w:szCs w:val="30"/>
              </w:rPr>
            </w:pPr>
            <w:bookmarkStart w:id="0" w:name="OLE_LINK8"/>
            <w:r>
              <w:rPr>
                <w:rFonts w:eastAsia="楷体_GB2312"/>
                <w:bCs/>
                <w:sz w:val="30"/>
                <w:szCs w:val="30"/>
              </w:rPr>
              <w:t>检出限</w:t>
            </w:r>
          </w:p>
          <w:p>
            <w:pPr>
              <w:spacing w:line="500" w:lineRule="exact"/>
              <w:jc w:val="left"/>
              <w:rPr>
                <w:rFonts w:eastAsia="楷体_GB2312"/>
                <w:bCs/>
                <w:sz w:val="30"/>
                <w:szCs w:val="30"/>
              </w:rPr>
            </w:pPr>
          </w:p>
          <w:p>
            <w:pPr>
              <w:numPr>
                <w:ilvl w:val="0"/>
                <w:numId w:val="1"/>
              </w:numPr>
              <w:spacing w:line="500" w:lineRule="exact"/>
              <w:jc w:val="left"/>
              <w:rPr>
                <w:rFonts w:eastAsia="楷体_GB2312"/>
                <w:bCs/>
                <w:sz w:val="30"/>
                <w:szCs w:val="30"/>
              </w:rPr>
            </w:pPr>
            <w:r>
              <w:rPr>
                <w:rFonts w:eastAsia="楷体_GB2312"/>
                <w:bCs/>
                <w:sz w:val="30"/>
                <w:szCs w:val="30"/>
              </w:rPr>
              <w:t>灵敏度</w:t>
            </w:r>
          </w:p>
          <w:p>
            <w:pPr>
              <w:spacing w:line="500" w:lineRule="exact"/>
              <w:jc w:val="left"/>
              <w:rPr>
                <w:rFonts w:eastAsia="楷体_GB2312"/>
                <w:bCs/>
                <w:sz w:val="30"/>
                <w:szCs w:val="30"/>
              </w:rPr>
            </w:pPr>
          </w:p>
          <w:bookmarkEnd w:id="0"/>
          <w:p>
            <w:pPr>
              <w:numPr>
                <w:ilvl w:val="0"/>
                <w:numId w:val="1"/>
              </w:numPr>
              <w:spacing w:line="500" w:lineRule="exact"/>
              <w:jc w:val="left"/>
              <w:rPr>
                <w:rFonts w:eastAsia="楷体_GB2312"/>
                <w:bCs/>
                <w:sz w:val="30"/>
                <w:szCs w:val="30"/>
              </w:rPr>
            </w:pPr>
            <w:r>
              <w:rPr>
                <w:rFonts w:eastAsia="楷体_GB2312"/>
                <w:bCs/>
                <w:sz w:val="30"/>
                <w:szCs w:val="30"/>
              </w:rPr>
              <w:t>特异性</w:t>
            </w:r>
          </w:p>
          <w:p>
            <w:pPr>
              <w:spacing w:line="500" w:lineRule="exact"/>
              <w:jc w:val="left"/>
              <w:rPr>
                <w:rFonts w:eastAsia="楷体_GB2312"/>
                <w:bCs/>
                <w:sz w:val="30"/>
                <w:szCs w:val="30"/>
              </w:rPr>
            </w:pPr>
          </w:p>
          <w:p>
            <w:pPr>
              <w:numPr>
                <w:ilvl w:val="0"/>
                <w:numId w:val="1"/>
              </w:numPr>
              <w:spacing w:line="500" w:lineRule="exact"/>
              <w:jc w:val="left"/>
              <w:rPr>
                <w:rFonts w:eastAsia="楷体_GB2312"/>
                <w:bCs/>
                <w:sz w:val="30"/>
                <w:szCs w:val="30"/>
              </w:rPr>
            </w:pPr>
            <w:r>
              <w:rPr>
                <w:rFonts w:eastAsia="楷体_GB2312"/>
                <w:bCs/>
                <w:sz w:val="30"/>
                <w:szCs w:val="30"/>
              </w:rPr>
              <w:t>假阳性率</w:t>
            </w:r>
          </w:p>
          <w:p>
            <w:pPr>
              <w:spacing w:line="500" w:lineRule="exact"/>
              <w:jc w:val="left"/>
              <w:rPr>
                <w:rFonts w:eastAsia="楷体_GB2312"/>
                <w:bCs/>
                <w:sz w:val="30"/>
                <w:szCs w:val="30"/>
              </w:rPr>
            </w:pPr>
          </w:p>
          <w:p>
            <w:pPr>
              <w:numPr>
                <w:ilvl w:val="0"/>
                <w:numId w:val="1"/>
              </w:numPr>
              <w:spacing w:line="500" w:lineRule="exact"/>
              <w:jc w:val="left"/>
              <w:rPr>
                <w:rFonts w:eastAsia="楷体_GB2312"/>
                <w:bCs/>
                <w:sz w:val="30"/>
                <w:szCs w:val="30"/>
              </w:rPr>
            </w:pPr>
            <w:r>
              <w:rPr>
                <w:rFonts w:eastAsia="楷体_GB2312"/>
                <w:bCs/>
                <w:sz w:val="30"/>
                <w:szCs w:val="30"/>
              </w:rPr>
              <w:t>假阴性率</w:t>
            </w:r>
          </w:p>
          <w:p>
            <w:pPr>
              <w:spacing w:line="500" w:lineRule="exact"/>
              <w:jc w:val="left"/>
              <w:rPr>
                <w:rFonts w:eastAsia="楷体_GB2312"/>
                <w:bCs/>
                <w:sz w:val="30"/>
                <w:szCs w:val="30"/>
              </w:rPr>
            </w:pPr>
          </w:p>
          <w:p>
            <w:pPr>
              <w:numPr>
                <w:ilvl w:val="0"/>
                <w:numId w:val="1"/>
              </w:numPr>
              <w:spacing w:line="500" w:lineRule="exact"/>
              <w:jc w:val="left"/>
              <w:rPr>
                <w:rFonts w:eastAsia="楷体_GB2312"/>
                <w:bCs/>
                <w:sz w:val="30"/>
                <w:szCs w:val="30"/>
              </w:rPr>
            </w:pPr>
            <w:r>
              <w:rPr>
                <w:rFonts w:eastAsia="楷体_GB2312"/>
                <w:bCs/>
                <w:sz w:val="30"/>
                <w:szCs w:val="30"/>
              </w:rPr>
              <w:t>与参比方法一致性比较</w:t>
            </w:r>
          </w:p>
          <w:p>
            <w:pPr>
              <w:spacing w:line="500" w:lineRule="exact"/>
              <w:jc w:val="left"/>
              <w:rPr>
                <w:rFonts w:eastAsia="楷体_GB2312"/>
                <w:bCs/>
                <w:sz w:val="30"/>
                <w:szCs w:val="30"/>
              </w:rPr>
            </w:pPr>
            <w:r>
              <w:rPr>
                <w:rFonts w:eastAsia="楷体_GB2312"/>
                <w:bCs/>
                <w:sz w:val="30"/>
                <w:szCs w:val="30"/>
              </w:rPr>
              <w:t>（请首先注明参比方法）</w:t>
            </w:r>
          </w:p>
          <w:p>
            <w:pPr>
              <w:spacing w:line="500" w:lineRule="exact"/>
              <w:jc w:val="left"/>
              <w:rPr>
                <w:rFonts w:eastAsia="楷体_GB2312"/>
                <w:bCs/>
                <w:sz w:val="30"/>
                <w:szCs w:val="30"/>
              </w:rPr>
            </w:pPr>
          </w:p>
          <w:p>
            <w:pPr>
              <w:spacing w:line="500" w:lineRule="exact"/>
              <w:jc w:val="left"/>
              <w:rPr>
                <w:rFonts w:eastAsia="楷体_GB2312"/>
                <w:b/>
                <w:bCs/>
                <w:sz w:val="30"/>
                <w:szCs w:val="30"/>
              </w:rPr>
            </w:pPr>
            <w:r>
              <w:rPr>
                <w:rFonts w:eastAsia="楷体_GB2312"/>
                <w:bCs/>
                <w:sz w:val="30"/>
                <w:szCs w:val="30"/>
              </w:rPr>
              <w:t>注：如有具体设备参数，可注明。</w:t>
            </w:r>
          </w:p>
          <w:p>
            <w:pPr>
              <w:rPr>
                <w:rFonts w:eastAsia="仿宋"/>
                <w:b/>
                <w:bCs/>
                <w:sz w:val="30"/>
                <w:szCs w:val="30"/>
              </w:rPr>
            </w:pPr>
          </w:p>
          <w:p>
            <w:pPr>
              <w:rPr>
                <w:rFonts w:eastAsia="仿宋"/>
                <w:b/>
                <w:bCs/>
                <w:sz w:val="30"/>
                <w:szCs w:val="30"/>
              </w:rPr>
            </w:pPr>
          </w:p>
          <w:p>
            <w:pPr>
              <w:jc w:val="center"/>
              <w:rPr>
                <w:rFonts w:eastAsia="仿宋"/>
                <w:b/>
                <w:bCs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93" w:hRule="atLeast"/>
          <w:jc w:val="center"/>
        </w:trPr>
        <w:tc>
          <w:tcPr>
            <w:tcW w:w="2107" w:type="dxa"/>
            <w:vAlign w:val="center"/>
          </w:tcPr>
          <w:p>
            <w:pPr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hint="eastAsia" w:eastAsia="黑体"/>
                <w:bCs/>
                <w:sz w:val="32"/>
                <w:szCs w:val="32"/>
              </w:rPr>
              <w:t>编制说明</w:t>
            </w:r>
          </w:p>
        </w:tc>
        <w:tc>
          <w:tcPr>
            <w:tcW w:w="6521" w:type="dxa"/>
            <w:vAlign w:val="center"/>
          </w:tcPr>
          <w:p>
            <w:pPr>
              <w:jc w:val="left"/>
              <w:rPr>
                <w:rFonts w:eastAsia="楷体_GB2312"/>
                <w:bCs/>
                <w:sz w:val="32"/>
                <w:szCs w:val="32"/>
              </w:rPr>
            </w:pPr>
            <w:r>
              <w:rPr>
                <w:rFonts w:eastAsia="楷体_GB2312"/>
                <w:bCs/>
                <w:sz w:val="32"/>
                <w:szCs w:val="32"/>
              </w:rPr>
              <w:t>1.快速检测方法食品基质适用范围确定依据</w:t>
            </w:r>
          </w:p>
          <w:p>
            <w:pPr>
              <w:spacing w:line="440" w:lineRule="exact"/>
              <w:jc w:val="left"/>
              <w:rPr>
                <w:rFonts w:eastAsia="楷体_GB2312"/>
                <w:sz w:val="28"/>
                <w:szCs w:val="28"/>
              </w:rPr>
            </w:pPr>
          </w:p>
          <w:p>
            <w:pPr>
              <w:spacing w:line="440" w:lineRule="exact"/>
              <w:jc w:val="left"/>
              <w:rPr>
                <w:rFonts w:eastAsia="楷体_GB2312"/>
                <w:sz w:val="28"/>
                <w:szCs w:val="28"/>
              </w:rPr>
            </w:pPr>
          </w:p>
          <w:p>
            <w:pPr>
              <w:jc w:val="left"/>
              <w:rPr>
                <w:rFonts w:eastAsia="楷体_GB2312"/>
                <w:bCs/>
                <w:sz w:val="30"/>
                <w:szCs w:val="30"/>
              </w:rPr>
            </w:pPr>
            <w:r>
              <w:rPr>
                <w:rFonts w:eastAsia="楷体_GB2312"/>
                <w:bCs/>
                <w:sz w:val="30"/>
                <w:szCs w:val="30"/>
              </w:rPr>
              <w:t>2.快速检测方法确定样品前处理方式依据</w:t>
            </w:r>
          </w:p>
          <w:p>
            <w:pPr>
              <w:spacing w:line="440" w:lineRule="exact"/>
              <w:jc w:val="left"/>
              <w:rPr>
                <w:rFonts w:eastAsia="楷体_GB2312"/>
                <w:sz w:val="28"/>
                <w:szCs w:val="28"/>
              </w:rPr>
            </w:pPr>
          </w:p>
          <w:p>
            <w:pPr>
              <w:spacing w:line="440" w:lineRule="exact"/>
              <w:jc w:val="left"/>
              <w:rPr>
                <w:rFonts w:eastAsia="楷体_GB2312"/>
                <w:sz w:val="28"/>
                <w:szCs w:val="28"/>
              </w:rPr>
            </w:pPr>
          </w:p>
          <w:p>
            <w:pPr>
              <w:jc w:val="left"/>
              <w:rPr>
                <w:rFonts w:eastAsia="楷体_GB2312"/>
                <w:bCs/>
                <w:sz w:val="30"/>
                <w:szCs w:val="30"/>
              </w:rPr>
            </w:pPr>
            <w:r>
              <w:rPr>
                <w:rFonts w:eastAsia="楷体_GB2312"/>
                <w:bCs/>
                <w:sz w:val="30"/>
                <w:szCs w:val="30"/>
              </w:rPr>
              <w:t>3.快速检测方法性能指标优化过程及实验数据</w:t>
            </w:r>
          </w:p>
          <w:p>
            <w:pPr>
              <w:spacing w:line="440" w:lineRule="exact"/>
              <w:jc w:val="left"/>
              <w:rPr>
                <w:rFonts w:eastAsia="楷体_GB2312"/>
                <w:sz w:val="28"/>
                <w:szCs w:val="28"/>
              </w:rPr>
            </w:pPr>
          </w:p>
          <w:p>
            <w:pPr>
              <w:spacing w:line="440" w:lineRule="exact"/>
              <w:jc w:val="left"/>
              <w:rPr>
                <w:rFonts w:eastAsia="楷体_GB2312"/>
                <w:sz w:val="28"/>
                <w:szCs w:val="28"/>
              </w:rPr>
            </w:pPr>
          </w:p>
          <w:p>
            <w:pPr>
              <w:jc w:val="left"/>
              <w:rPr>
                <w:rFonts w:eastAsia="楷体_GB2312"/>
                <w:bCs/>
                <w:sz w:val="30"/>
                <w:szCs w:val="30"/>
              </w:rPr>
            </w:pPr>
            <w:r>
              <w:rPr>
                <w:rFonts w:eastAsia="楷体_GB2312"/>
                <w:bCs/>
                <w:sz w:val="30"/>
                <w:szCs w:val="30"/>
              </w:rPr>
              <w:t>4.快速检测方法与对应项目涉及的国家标准、行业标准或者经验证的规范方法所测结果的一致性比较实验数据</w:t>
            </w:r>
          </w:p>
          <w:p>
            <w:pPr>
              <w:spacing w:line="440" w:lineRule="exact"/>
              <w:jc w:val="left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检测结果可根据实际定性或者定量结果，采取卡方、F检验等方法进行一致性分析，并给出相应置信区间或者结果偏差范围。</w:t>
            </w:r>
          </w:p>
          <w:p>
            <w:pPr>
              <w:spacing w:line="440" w:lineRule="exact"/>
              <w:jc w:val="left"/>
              <w:rPr>
                <w:rFonts w:eastAsia="仿宋"/>
                <w:sz w:val="28"/>
                <w:szCs w:val="28"/>
              </w:rPr>
            </w:pPr>
          </w:p>
          <w:p>
            <w:pPr>
              <w:spacing w:line="440" w:lineRule="exact"/>
              <w:jc w:val="left"/>
              <w:rPr>
                <w:rFonts w:eastAsia="仿宋"/>
                <w:sz w:val="28"/>
                <w:szCs w:val="28"/>
              </w:rPr>
            </w:pPr>
          </w:p>
          <w:p>
            <w:pPr>
              <w:jc w:val="left"/>
              <w:rPr>
                <w:rFonts w:eastAsia="楷体_GB2312"/>
                <w:bCs/>
                <w:sz w:val="30"/>
                <w:szCs w:val="30"/>
              </w:rPr>
            </w:pPr>
            <w:r>
              <w:rPr>
                <w:rFonts w:eastAsia="楷体_GB2312"/>
                <w:bCs/>
                <w:sz w:val="30"/>
                <w:szCs w:val="30"/>
              </w:rPr>
              <w:t>5.其他指标数据</w:t>
            </w:r>
          </w:p>
          <w:p>
            <w:pPr>
              <w:spacing w:line="44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如快速检测方法检测成本（单一或者批量检测费用）、检测时间（应给出具体单一指标测定的单位时间，可通过批量检测计算）、检测细节需培训情况、所用附带设备及试剂耗材的专属性、方法特异性（交叉反应率等）、产品的信息和数据电子化部分，应考察数据上传、管理、传输、防护、验证、备份等具体内容。</w:t>
            </w:r>
          </w:p>
          <w:p>
            <w:pPr>
              <w:spacing w:line="500" w:lineRule="exact"/>
              <w:jc w:val="left"/>
              <w:rPr>
                <w:rFonts w:eastAsia="仿宋"/>
                <w:b/>
                <w:bCs/>
                <w:sz w:val="30"/>
                <w:szCs w:val="30"/>
              </w:rPr>
            </w:pPr>
          </w:p>
        </w:tc>
      </w:tr>
    </w:tbl>
    <w:p>
      <w:bookmarkStart w:id="1" w:name="OLE_LINK1"/>
      <w:bookmarkEnd w:id="1"/>
    </w:p>
    <w:sectPr>
      <w:footerReference r:id="rId3" w:type="default"/>
      <w:footerReference r:id="rId4" w:type="even"/>
      <w:pgSz w:w="11906" w:h="16838"/>
      <w:pgMar w:top="1928" w:right="1531" w:bottom="1814" w:left="1531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Palatino Linotype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Palatino Linotype">
    <w:panose1 w:val="02040502050505030304"/>
    <w:charset w:val="00"/>
    <w:family w:val="auto"/>
    <w:pitch w:val="default"/>
    <w:sig w:usb0="E0000387" w:usb1="40000013" w:usb2="00000000" w:usb3="00000000" w:csb0="2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wordWrap w:val="0"/>
      <w:jc w:val="right"/>
      <w:rPr>
        <w:sz w:val="28"/>
        <w:szCs w:val="28"/>
      </w:rPr>
    </w:pPr>
    <w:r>
      <w:rPr>
        <w:rFonts w:hint="eastAsia"/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2</w:t>
    </w:r>
    <w:r>
      <w:rPr>
        <w:sz w:val="28"/>
        <w:szCs w:val="28"/>
      </w:rPr>
      <w:fldChar w:fldCharType="end"/>
    </w:r>
    <w:r>
      <w:rPr>
        <w:rFonts w:hint="eastAsia"/>
        <w:sz w:val="28"/>
        <w:szCs w:val="28"/>
      </w:rPr>
      <w:t>—</w:t>
    </w:r>
    <w:r>
      <w:rPr>
        <w:rFonts w:hint="eastAsia"/>
        <w:color w:val="FFFFFF"/>
        <w:sz w:val="28"/>
        <w:szCs w:val="28"/>
      </w:rPr>
      <w:t>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sz w:val="28"/>
        <w:szCs w:val="28"/>
      </w:rPr>
    </w:pPr>
    <w:r>
      <w:rPr>
        <w:rFonts w:hint="eastAsia"/>
        <w:color w:val="FFFFFF"/>
        <w:sz w:val="28"/>
        <w:szCs w:val="28"/>
      </w:rPr>
      <w:t>—</w:t>
    </w:r>
    <w:r>
      <w:rPr>
        <w:rFonts w:hint="eastAsia"/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6</w:t>
    </w:r>
    <w:r>
      <w:rPr>
        <w:sz w:val="28"/>
        <w:szCs w:val="28"/>
      </w:rPr>
      <w:fldChar w:fldCharType="end"/>
    </w:r>
    <w:r>
      <w:rPr>
        <w:rFonts w:hint="eastAsia"/>
        <w:sz w:val="28"/>
        <w:szCs w:val="28"/>
      </w:rPr>
      <w:t>—</w:t>
    </w:r>
  </w:p>
  <w:p>
    <w:pPr>
      <w:pStyle w:val="2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C07AC2"/>
    <w:multiLevelType w:val="multilevel"/>
    <w:tmpl w:val="58C07AC2"/>
    <w:lvl w:ilvl="0" w:tentative="0">
      <w:start w:val="1"/>
      <w:numFmt w:val="decimal"/>
      <w:suff w:val="nothing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35"/>
    <w:rsid w:val="000F197C"/>
    <w:rsid w:val="00275621"/>
    <w:rsid w:val="004A0D75"/>
    <w:rsid w:val="00573B9B"/>
    <w:rsid w:val="007F6BB0"/>
    <w:rsid w:val="008F1704"/>
    <w:rsid w:val="009B0535"/>
    <w:rsid w:val="00AC5E05"/>
    <w:rsid w:val="00D657E2"/>
    <w:rsid w:val="00EA43B4"/>
    <w:rsid w:val="4B415B1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uiPriority w:val="99"/>
    <w:rPr>
      <w:sz w:val="18"/>
      <w:szCs w:val="18"/>
    </w:rPr>
  </w:style>
  <w:style w:type="character" w:customStyle="1" w:styleId="7">
    <w:name w:val="页脚 Char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CFDA</Company>
  <Pages>3</Pages>
  <Words>80</Words>
  <Characters>460</Characters>
  <Lines>3</Lines>
  <Paragraphs>1</Paragraphs>
  <TotalTime>0</TotalTime>
  <ScaleCrop>false</ScaleCrop>
  <LinksUpToDate>false</LinksUpToDate>
  <CharactersWithSpaces>539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2017-09-18T08:37:00Z</dcterms:created>
  <dc:creator>王兴龙</dc:creator>
  <cp:lastModifiedBy>文文</cp:lastModifiedBy>
  <dcterms:modified xsi:type="dcterms:W3CDTF">2017-09-20T08:33:13Z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