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rPr>
          <w:rFonts w:ascii="Times New Roman" w:hAnsi="Times New Roman"/>
        </w:rPr>
      </w:pPr>
    </w:p>
    <w:p>
      <w:pPr>
        <w:tabs>
          <w:tab w:val="center" w:pos="4535"/>
        </w:tabs>
        <w:spacing w:line="340" w:lineRule="exact"/>
        <w:jc w:val="center"/>
        <w:rPr>
          <w:rFonts w:hint="eastAsia" w:ascii="Times New Roman" w:hAnsi="Times New Roman" w:cs="仿宋_GB2312"/>
          <w:b/>
          <w:sz w:val="36"/>
          <w:szCs w:val="36"/>
        </w:rPr>
      </w:pPr>
    </w:p>
    <w:p>
      <w:pPr>
        <w:spacing w:line="360" w:lineRule="exact"/>
        <w:jc w:val="center"/>
        <w:rPr>
          <w:rFonts w:hint="eastAsia" w:ascii="Times New Roman" w:hAnsi="Times New Roman"/>
          <w:b/>
          <w:bCs w:val="0"/>
          <w:color w:val="000000"/>
          <w:sz w:val="32"/>
          <w:szCs w:val="28"/>
        </w:rPr>
      </w:pPr>
      <w:r>
        <w:rPr>
          <w:rFonts w:hint="eastAsia" w:ascii="Times New Roman" w:hAnsi="Times New Roman"/>
          <w:b/>
          <w:bCs w:val="0"/>
          <w:color w:val="000000"/>
          <w:sz w:val="32"/>
          <w:szCs w:val="28"/>
        </w:rPr>
        <w:t>“食品安全与健康医疗大数据分析方法与应用”</w:t>
      </w:r>
    </w:p>
    <w:p>
      <w:pPr>
        <w:spacing w:line="360" w:lineRule="exact"/>
        <w:jc w:val="center"/>
        <w:rPr>
          <w:rFonts w:hint="eastAsia" w:ascii="Times New Roman" w:hAnsi="Times New Roman"/>
          <w:b/>
          <w:bCs w:val="0"/>
          <w:color w:val="000000"/>
          <w:sz w:val="32"/>
          <w:szCs w:val="28"/>
        </w:rPr>
      </w:pPr>
      <w:bookmarkStart w:id="0" w:name="_GoBack"/>
      <w:r>
        <w:rPr>
          <w:rFonts w:hint="eastAsia" w:ascii="Times New Roman" w:hAnsi="Times New Roman"/>
          <w:b/>
          <w:bCs w:val="0"/>
          <w:color w:val="000000"/>
          <w:sz w:val="32"/>
          <w:szCs w:val="28"/>
        </w:rPr>
        <w:t>学术交流会议内容</w:t>
      </w:r>
    </w:p>
    <w:bookmarkEnd w:id="0"/>
    <w:p>
      <w:pPr>
        <w:spacing w:line="355" w:lineRule="exact"/>
        <w:ind w:left="800"/>
        <w:rPr>
          <w:rFonts w:ascii="Times New Roman" w:hAnsi="Times New Roman" w:eastAsia="新宋体"/>
          <w:b/>
          <w:szCs w:val="21"/>
        </w:rPr>
      </w:pPr>
    </w:p>
    <w:tbl>
      <w:tblPr>
        <w:tblStyle w:val="14"/>
        <w:tblW w:w="10505" w:type="dxa"/>
        <w:jc w:val="center"/>
        <w:tblInd w:w="0" w:type="dxa"/>
        <w:tblLayout w:type="fixed"/>
        <w:tblCellMar>
          <w:top w:w="0" w:type="dxa"/>
          <w:left w:w="108" w:type="dxa"/>
          <w:bottom w:w="0" w:type="dxa"/>
          <w:right w:w="108" w:type="dxa"/>
        </w:tblCellMar>
      </w:tblPr>
      <w:tblGrid>
        <w:gridCol w:w="1894"/>
        <w:gridCol w:w="8611"/>
      </w:tblGrid>
      <w:tr>
        <w:tblPrEx>
          <w:tblLayout w:type="fixed"/>
          <w:tblCellMar>
            <w:top w:w="0" w:type="dxa"/>
            <w:left w:w="108" w:type="dxa"/>
            <w:bottom w:w="0" w:type="dxa"/>
            <w:right w:w="108" w:type="dxa"/>
          </w:tblCellMar>
        </w:tblPrEx>
        <w:trPr>
          <w:trHeight w:val="615" w:hRule="atLeast"/>
          <w:jc w:val="center"/>
        </w:trPr>
        <w:tc>
          <w:tcPr>
            <w:tcW w:w="1894" w:type="dxa"/>
            <w:tcBorders>
              <w:top w:val="single" w:color="auto" w:sz="4" w:space="0"/>
              <w:left w:val="single" w:color="auto" w:sz="4" w:space="0"/>
              <w:bottom w:val="single" w:color="auto" w:sz="4" w:space="0"/>
              <w:right w:val="single" w:color="auto" w:sz="4" w:space="0"/>
            </w:tcBorders>
            <w:vAlign w:val="center"/>
          </w:tcPr>
          <w:p>
            <w:pPr>
              <w:outlineLvl w:val="0"/>
              <w:rPr>
                <w:rFonts w:ascii="Times New Roman" w:hAnsi="Times New Roman"/>
                <w:bCs/>
                <w:color w:val="000000"/>
                <w:sz w:val="24"/>
              </w:rPr>
            </w:pPr>
            <w:r>
              <w:rPr>
                <w:rFonts w:hint="eastAsia" w:ascii="Times New Roman" w:hAnsi="Times New Roman"/>
                <w:bCs/>
                <w:color w:val="000000"/>
                <w:sz w:val="24"/>
              </w:rPr>
              <w:t>一、环境部署及软件安装</w:t>
            </w:r>
          </w:p>
        </w:tc>
        <w:tc>
          <w:tcPr>
            <w:tcW w:w="8611" w:type="dxa"/>
            <w:tcBorders>
              <w:top w:val="single" w:color="auto" w:sz="4" w:space="0"/>
              <w:left w:val="single" w:color="auto" w:sz="4" w:space="0"/>
              <w:bottom w:val="single" w:color="auto" w:sz="4" w:space="0"/>
              <w:right w:val="single" w:color="auto" w:sz="4" w:space="0"/>
            </w:tcBorders>
          </w:tcPr>
          <w:p>
            <w:pPr>
              <w:spacing w:line="360" w:lineRule="exact"/>
              <w:rPr>
                <w:rFonts w:ascii="Times New Roman" w:hAnsi="Times New Roman"/>
                <w:bCs/>
                <w:color w:val="000000"/>
                <w:sz w:val="24"/>
              </w:rPr>
            </w:pPr>
            <w:r>
              <w:rPr>
                <w:rFonts w:hint="eastAsia" w:ascii="Times New Roman" w:hAnsi="Times New Roman"/>
                <w:bCs/>
                <w:color w:val="000000"/>
                <w:sz w:val="24"/>
              </w:rPr>
              <w:t>说明硬件要求，提供集成的虚拟设备安装包（ARCGIS、R软件、数据库、SaTScan、OpenGeoda、GoogleMapAPI）</w:t>
            </w:r>
          </w:p>
        </w:tc>
      </w:tr>
      <w:tr>
        <w:tblPrEx>
          <w:tblLayout w:type="fixed"/>
          <w:tblCellMar>
            <w:top w:w="0" w:type="dxa"/>
            <w:left w:w="108" w:type="dxa"/>
            <w:bottom w:w="0" w:type="dxa"/>
            <w:right w:w="108" w:type="dxa"/>
          </w:tblCellMar>
        </w:tblPrEx>
        <w:trPr>
          <w:trHeight w:val="615" w:hRule="atLeast"/>
          <w:jc w:val="center"/>
        </w:trPr>
        <w:tc>
          <w:tcPr>
            <w:tcW w:w="1894" w:type="dxa"/>
            <w:tcBorders>
              <w:top w:val="single" w:color="auto" w:sz="4" w:space="0"/>
              <w:left w:val="single" w:color="auto" w:sz="4" w:space="0"/>
              <w:bottom w:val="single" w:color="auto" w:sz="4" w:space="0"/>
              <w:right w:val="single" w:color="auto" w:sz="4" w:space="0"/>
            </w:tcBorders>
            <w:vAlign w:val="center"/>
          </w:tcPr>
          <w:p>
            <w:pPr>
              <w:outlineLvl w:val="0"/>
              <w:rPr>
                <w:rFonts w:ascii="Times New Roman" w:hAnsi="Times New Roman"/>
                <w:bCs/>
                <w:color w:val="000000"/>
                <w:sz w:val="24"/>
              </w:rPr>
            </w:pPr>
            <w:r>
              <w:rPr>
                <w:rFonts w:hint="eastAsia" w:ascii="Times New Roman" w:hAnsi="Times New Roman"/>
                <w:bCs/>
                <w:color w:val="000000"/>
                <w:sz w:val="24"/>
              </w:rPr>
              <w:t>二、食品安全大数据的基本理论及国家相关政策解读</w:t>
            </w:r>
          </w:p>
        </w:tc>
        <w:tc>
          <w:tcPr>
            <w:tcW w:w="8611" w:type="dxa"/>
            <w:tcBorders>
              <w:top w:val="single" w:color="auto" w:sz="4" w:space="0"/>
              <w:left w:val="single" w:color="auto" w:sz="4" w:space="0"/>
              <w:bottom w:val="single" w:color="auto" w:sz="4" w:space="0"/>
              <w:right w:val="single" w:color="auto" w:sz="4" w:space="0"/>
            </w:tcBorders>
          </w:tcPr>
          <w:p>
            <w:pPr>
              <w:spacing w:line="360" w:lineRule="exact"/>
              <w:rPr>
                <w:rFonts w:ascii="Times New Roman" w:hAnsi="Times New Roman"/>
                <w:b/>
                <w:bCs/>
                <w:color w:val="000000"/>
                <w:sz w:val="24"/>
              </w:rPr>
            </w:pPr>
            <w:r>
              <w:rPr>
                <w:rFonts w:hint="eastAsia" w:ascii="Times New Roman" w:hAnsi="Times New Roman"/>
                <w:bCs/>
                <w:color w:val="000000"/>
                <w:sz w:val="24"/>
              </w:rPr>
              <w:t>了解食品安全大数据相关的基本理论，并对国家食品安全战略、健康中国战略等进行解读，介绍国家有关食品安全大数据方面的架构设想等，以期使产学研等各方充分了解国家食品安全及健康医疗相关顶层设计，使学员自身工作与国家顶层设计相一致。</w:t>
            </w:r>
          </w:p>
        </w:tc>
      </w:tr>
      <w:tr>
        <w:tblPrEx>
          <w:tblLayout w:type="fixed"/>
          <w:tblCellMar>
            <w:top w:w="0" w:type="dxa"/>
            <w:left w:w="108" w:type="dxa"/>
            <w:bottom w:w="0" w:type="dxa"/>
            <w:right w:w="108" w:type="dxa"/>
          </w:tblCellMar>
        </w:tblPrEx>
        <w:trPr>
          <w:trHeight w:val="615" w:hRule="atLeast"/>
          <w:jc w:val="center"/>
        </w:trPr>
        <w:tc>
          <w:tcPr>
            <w:tcW w:w="1894" w:type="dxa"/>
            <w:tcBorders>
              <w:top w:val="single" w:color="auto" w:sz="4" w:space="0"/>
              <w:left w:val="single" w:color="auto" w:sz="4" w:space="0"/>
              <w:bottom w:val="single" w:color="auto" w:sz="4" w:space="0"/>
              <w:right w:val="single" w:color="auto" w:sz="4" w:space="0"/>
            </w:tcBorders>
            <w:vAlign w:val="center"/>
          </w:tcPr>
          <w:p>
            <w:pPr>
              <w:outlineLvl w:val="0"/>
              <w:rPr>
                <w:rFonts w:ascii="Times New Roman" w:hAnsi="Times New Roman"/>
                <w:bCs/>
                <w:color w:val="000000"/>
                <w:sz w:val="24"/>
              </w:rPr>
            </w:pPr>
            <w:r>
              <w:rPr>
                <w:rFonts w:hint="eastAsia" w:ascii="Times New Roman" w:hAnsi="Times New Roman"/>
                <w:bCs/>
                <w:color w:val="000000"/>
                <w:sz w:val="24"/>
              </w:rPr>
              <w:t>三、基于食品安全抽检历史数据的风险分级</w:t>
            </w:r>
          </w:p>
          <w:p>
            <w:pPr>
              <w:outlineLvl w:val="0"/>
              <w:rPr>
                <w:rFonts w:ascii="Times New Roman" w:hAnsi="Times New Roman"/>
                <w:bCs/>
                <w:color w:val="000000"/>
                <w:sz w:val="24"/>
              </w:rPr>
            </w:pPr>
          </w:p>
          <w:p>
            <w:pPr>
              <w:outlineLvl w:val="0"/>
              <w:rPr>
                <w:rFonts w:hint="eastAsia" w:ascii="Times New Roman" w:hAnsi="Times New Roman"/>
                <w:bCs/>
                <w:color w:val="000000"/>
                <w:sz w:val="24"/>
              </w:rPr>
            </w:pPr>
          </w:p>
        </w:tc>
        <w:tc>
          <w:tcPr>
            <w:tcW w:w="8611" w:type="dxa"/>
            <w:tcBorders>
              <w:top w:val="single" w:color="auto" w:sz="4" w:space="0"/>
              <w:left w:val="single" w:color="auto" w:sz="4" w:space="0"/>
              <w:bottom w:val="single" w:color="auto" w:sz="4" w:space="0"/>
              <w:right w:val="single" w:color="auto" w:sz="4" w:space="0"/>
            </w:tcBorders>
          </w:tcPr>
          <w:p>
            <w:pPr>
              <w:spacing w:line="360" w:lineRule="exact"/>
              <w:rPr>
                <w:rFonts w:ascii="Times New Roman" w:hAnsi="Times New Roman"/>
                <w:b/>
                <w:bCs/>
                <w:color w:val="000000"/>
                <w:sz w:val="24"/>
              </w:rPr>
            </w:pPr>
            <w:r>
              <w:rPr>
                <w:rFonts w:hint="eastAsia" w:ascii="Times New Roman" w:hAnsi="Times New Roman"/>
                <w:b/>
                <w:bCs/>
                <w:color w:val="000000"/>
                <w:sz w:val="24"/>
              </w:rPr>
              <w:t>问题：</w:t>
            </w:r>
            <w:r>
              <w:rPr>
                <w:rFonts w:hint="eastAsia" w:ascii="Times New Roman" w:hAnsi="Times New Roman"/>
                <w:bCs/>
                <w:color w:val="000000"/>
                <w:sz w:val="24"/>
              </w:rPr>
              <w:t>如何基于食品监督抽检的历史数据，建立食品安全风险分级模型并形成后续的食品监督抽检计划？</w:t>
            </w:r>
          </w:p>
          <w:p>
            <w:pPr>
              <w:spacing w:line="360" w:lineRule="exact"/>
              <w:rPr>
                <w:rFonts w:ascii="Times New Roman" w:hAnsi="Times New Roman"/>
                <w:b/>
                <w:bCs/>
                <w:color w:val="000000"/>
                <w:sz w:val="24"/>
              </w:rPr>
            </w:pPr>
            <w:r>
              <w:rPr>
                <w:rFonts w:hint="eastAsia" w:ascii="Times New Roman" w:hAnsi="Times New Roman"/>
                <w:b/>
                <w:bCs/>
                <w:color w:val="000000"/>
                <w:sz w:val="24"/>
              </w:rPr>
              <w:t>解决方案：</w:t>
            </w:r>
            <w:r>
              <w:rPr>
                <w:rFonts w:hint="eastAsia" w:ascii="Times New Roman" w:hAnsi="Times New Roman"/>
                <w:bCs/>
                <w:color w:val="000000"/>
                <w:sz w:val="24"/>
              </w:rPr>
              <w:t>应用食品监督抽检数据，通过理论讲解与实际操作相结合的授课方式，加深学员对食品安全风险分级模型解决食品监督抽检计划问题的全面理解。</w:t>
            </w:r>
          </w:p>
          <w:p>
            <w:pPr>
              <w:spacing w:line="360" w:lineRule="exact"/>
              <w:rPr>
                <w:rFonts w:hint="eastAsia" w:ascii="Times New Roman" w:hAnsi="Times New Roman"/>
                <w:bCs/>
                <w:sz w:val="24"/>
              </w:rPr>
            </w:pPr>
            <w:r>
              <w:rPr>
                <w:rFonts w:hint="eastAsia" w:ascii="Times New Roman" w:hAnsi="Times New Roman"/>
                <w:b/>
                <w:bCs/>
                <w:color w:val="000000"/>
                <w:sz w:val="24"/>
              </w:rPr>
              <w:t>预期效果：</w:t>
            </w:r>
            <w:r>
              <w:rPr>
                <w:rFonts w:hint="eastAsia" w:ascii="Times New Roman" w:hAnsi="Times New Roman"/>
                <w:bCs/>
                <w:sz w:val="24"/>
              </w:rPr>
              <w:t>学员系统掌握食品监督抽检数据的转换和处理。</w:t>
            </w:r>
          </w:p>
        </w:tc>
      </w:tr>
      <w:tr>
        <w:tblPrEx>
          <w:tblLayout w:type="fixed"/>
          <w:tblCellMar>
            <w:top w:w="0" w:type="dxa"/>
            <w:left w:w="108" w:type="dxa"/>
            <w:bottom w:w="0" w:type="dxa"/>
            <w:right w:w="108" w:type="dxa"/>
          </w:tblCellMar>
        </w:tblPrEx>
        <w:trPr>
          <w:trHeight w:val="615" w:hRule="atLeast"/>
          <w:jc w:val="center"/>
        </w:trPr>
        <w:tc>
          <w:tcPr>
            <w:tcW w:w="1894" w:type="dxa"/>
            <w:tcBorders>
              <w:top w:val="single" w:color="auto" w:sz="4" w:space="0"/>
              <w:left w:val="single" w:color="auto" w:sz="4" w:space="0"/>
              <w:bottom w:val="single" w:color="auto" w:sz="4" w:space="0"/>
              <w:right w:val="single" w:color="auto" w:sz="4" w:space="0"/>
            </w:tcBorders>
            <w:vAlign w:val="center"/>
          </w:tcPr>
          <w:p>
            <w:pPr>
              <w:rPr>
                <w:rFonts w:ascii="Times New Roman" w:hAnsi="Times New Roman"/>
                <w:bCs/>
                <w:color w:val="000000"/>
                <w:sz w:val="24"/>
              </w:rPr>
            </w:pPr>
            <w:r>
              <w:rPr>
                <w:rFonts w:hint="eastAsia" w:ascii="Times New Roman" w:hAnsi="Times New Roman"/>
                <w:bCs/>
                <w:color w:val="000000"/>
                <w:sz w:val="24"/>
              </w:rPr>
              <w:t>四、区块链在食品安全及健康医疗领域的应用</w:t>
            </w:r>
          </w:p>
        </w:tc>
        <w:tc>
          <w:tcPr>
            <w:tcW w:w="8611"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Times New Roman" w:hAnsi="Times New Roman"/>
                <w:bCs/>
                <w:sz w:val="24"/>
              </w:rPr>
            </w:pPr>
            <w:r>
              <w:rPr>
                <w:rFonts w:hint="eastAsia" w:ascii="Times New Roman" w:hAnsi="Times New Roman"/>
                <w:b/>
                <w:bCs/>
                <w:sz w:val="24"/>
              </w:rPr>
              <w:t>问题：</w:t>
            </w:r>
            <w:r>
              <w:rPr>
                <w:rFonts w:hint="eastAsia" w:ascii="Times New Roman" w:hAnsi="Times New Roman"/>
                <w:bCs/>
                <w:sz w:val="24"/>
              </w:rPr>
              <w:t>区块链技术是什么？有什么样的特点？如何实现区块链技术在食品安全及健康医疗领域的应用？</w:t>
            </w:r>
          </w:p>
          <w:p>
            <w:pPr>
              <w:spacing w:line="360" w:lineRule="exact"/>
              <w:rPr>
                <w:rFonts w:ascii="Times New Roman" w:hAnsi="Times New Roman"/>
                <w:bCs/>
                <w:sz w:val="24"/>
              </w:rPr>
            </w:pPr>
            <w:r>
              <w:rPr>
                <w:rFonts w:hint="eastAsia" w:ascii="Times New Roman" w:hAnsi="Times New Roman"/>
                <w:b/>
                <w:bCs/>
                <w:sz w:val="24"/>
              </w:rPr>
              <w:t>解决方案：</w:t>
            </w:r>
            <w:r>
              <w:rPr>
                <w:rFonts w:hint="eastAsia" w:ascii="Times New Roman" w:hAnsi="Times New Roman"/>
                <w:bCs/>
                <w:sz w:val="24"/>
              </w:rPr>
              <w:t>学习区块链的相关知识。</w:t>
            </w:r>
          </w:p>
          <w:p>
            <w:pPr>
              <w:spacing w:line="360" w:lineRule="exact"/>
              <w:rPr>
                <w:rFonts w:ascii="Times New Roman" w:hAnsi="Times New Roman"/>
                <w:b/>
                <w:bCs/>
                <w:sz w:val="24"/>
              </w:rPr>
            </w:pPr>
            <w:r>
              <w:rPr>
                <w:rFonts w:hint="eastAsia" w:ascii="Times New Roman" w:hAnsi="Times New Roman"/>
                <w:b/>
                <w:bCs/>
                <w:sz w:val="24"/>
              </w:rPr>
              <w:t>预期项果：</w:t>
            </w:r>
            <w:r>
              <w:rPr>
                <w:rFonts w:hint="eastAsia" w:ascii="Times New Roman" w:hAnsi="Times New Roman"/>
                <w:bCs/>
                <w:sz w:val="24"/>
              </w:rPr>
              <w:t xml:space="preserve">学员掌握区块链技术的基于原理、特点，通过一些国内外的应用案例及模型，掌握区块链技术在食品安全及健康医疗领域的应用。 </w:t>
            </w:r>
          </w:p>
        </w:tc>
      </w:tr>
      <w:tr>
        <w:tblPrEx>
          <w:tblLayout w:type="fixed"/>
          <w:tblCellMar>
            <w:top w:w="0" w:type="dxa"/>
            <w:left w:w="108" w:type="dxa"/>
            <w:bottom w:w="0" w:type="dxa"/>
            <w:right w:w="108" w:type="dxa"/>
          </w:tblCellMar>
        </w:tblPrEx>
        <w:trPr>
          <w:trHeight w:val="615" w:hRule="atLeast"/>
          <w:jc w:val="center"/>
        </w:trPr>
        <w:tc>
          <w:tcPr>
            <w:tcW w:w="1894" w:type="dxa"/>
            <w:tcBorders>
              <w:top w:val="single" w:color="auto" w:sz="4" w:space="0"/>
              <w:left w:val="single" w:color="auto" w:sz="4" w:space="0"/>
              <w:bottom w:val="single" w:color="auto" w:sz="4" w:space="0"/>
              <w:right w:val="single" w:color="auto" w:sz="4" w:space="0"/>
            </w:tcBorders>
            <w:vAlign w:val="center"/>
          </w:tcPr>
          <w:p>
            <w:pPr>
              <w:outlineLvl w:val="0"/>
              <w:rPr>
                <w:rFonts w:ascii="Times New Roman" w:hAnsi="Times New Roman"/>
                <w:bCs/>
                <w:color w:val="000000"/>
                <w:sz w:val="24"/>
              </w:rPr>
            </w:pPr>
            <w:r>
              <w:rPr>
                <w:rFonts w:hint="eastAsia" w:ascii="Times New Roman" w:hAnsi="Times New Roman"/>
                <w:bCs/>
                <w:color w:val="000000"/>
                <w:sz w:val="24"/>
              </w:rPr>
              <w:t>五、食品安全空间统计基本原理方法及应用实例演示</w:t>
            </w:r>
          </w:p>
        </w:tc>
        <w:tc>
          <w:tcPr>
            <w:tcW w:w="8611" w:type="dxa"/>
            <w:tcBorders>
              <w:top w:val="single" w:color="auto" w:sz="4" w:space="0"/>
              <w:left w:val="single" w:color="auto" w:sz="4" w:space="0"/>
              <w:bottom w:val="single" w:color="auto" w:sz="4" w:space="0"/>
              <w:right w:val="single" w:color="auto" w:sz="4" w:space="0"/>
            </w:tcBorders>
          </w:tcPr>
          <w:p>
            <w:pPr>
              <w:spacing w:line="360" w:lineRule="exact"/>
              <w:rPr>
                <w:rFonts w:ascii="Times New Roman" w:hAnsi="Times New Roman"/>
                <w:bCs/>
                <w:color w:val="000000"/>
                <w:sz w:val="24"/>
              </w:rPr>
            </w:pPr>
            <w:r>
              <w:rPr>
                <w:rFonts w:hint="eastAsia" w:ascii="Times New Roman" w:hAnsi="Times New Roman"/>
                <w:b/>
                <w:bCs/>
                <w:color w:val="000000"/>
                <w:sz w:val="24"/>
              </w:rPr>
              <w:t>问题</w:t>
            </w:r>
            <w:r>
              <w:rPr>
                <w:rFonts w:hint="eastAsia" w:ascii="Times New Roman" w:hAnsi="Times New Roman"/>
                <w:bCs/>
                <w:color w:val="000000"/>
                <w:sz w:val="24"/>
              </w:rPr>
              <w:t>：如何从食品安全与健康医疗业务角度理解空间统计原理、方法及应用？</w:t>
            </w:r>
          </w:p>
          <w:p>
            <w:pPr>
              <w:spacing w:line="360" w:lineRule="exact"/>
              <w:rPr>
                <w:rFonts w:ascii="Times New Roman" w:hAnsi="Times New Roman"/>
                <w:bCs/>
                <w:color w:val="000000"/>
                <w:sz w:val="24"/>
              </w:rPr>
            </w:pPr>
            <w:r>
              <w:rPr>
                <w:rFonts w:hint="eastAsia" w:ascii="Times New Roman" w:hAnsi="Times New Roman"/>
                <w:b/>
                <w:bCs/>
                <w:color w:val="000000"/>
                <w:sz w:val="24"/>
              </w:rPr>
              <w:t>解决方案</w:t>
            </w:r>
            <w:r>
              <w:rPr>
                <w:rFonts w:hint="eastAsia" w:ascii="Times New Roman" w:hAnsi="Times New Roman"/>
                <w:bCs/>
                <w:color w:val="000000"/>
                <w:sz w:val="24"/>
              </w:rPr>
              <w:t>：采用理论讲解与实际操作相结合的授课方式，加深学员对理论知识的全面理解。</w:t>
            </w:r>
          </w:p>
          <w:p>
            <w:pPr>
              <w:spacing w:line="360" w:lineRule="exact"/>
              <w:rPr>
                <w:rFonts w:ascii="Times New Roman" w:hAnsi="Times New Roman"/>
                <w:bCs/>
                <w:color w:val="000000"/>
                <w:sz w:val="24"/>
              </w:rPr>
            </w:pPr>
            <w:r>
              <w:rPr>
                <w:rFonts w:hint="eastAsia" w:ascii="Times New Roman" w:hAnsi="Times New Roman"/>
                <w:b/>
                <w:bCs/>
                <w:color w:val="000000"/>
                <w:sz w:val="24"/>
              </w:rPr>
              <w:t>预期效果：</w:t>
            </w:r>
            <w:r>
              <w:rPr>
                <w:rFonts w:hint="eastAsia" w:ascii="Times New Roman" w:hAnsi="Times New Roman"/>
                <w:bCs/>
                <w:color w:val="000000"/>
                <w:sz w:val="24"/>
              </w:rPr>
              <w:t>学员系统掌握空间统计的定义、主要应用以及空间思维。</w:t>
            </w:r>
          </w:p>
        </w:tc>
      </w:tr>
      <w:tr>
        <w:tblPrEx>
          <w:tblLayout w:type="fixed"/>
          <w:tblCellMar>
            <w:top w:w="0" w:type="dxa"/>
            <w:left w:w="108" w:type="dxa"/>
            <w:bottom w:w="0" w:type="dxa"/>
            <w:right w:w="108" w:type="dxa"/>
          </w:tblCellMar>
        </w:tblPrEx>
        <w:trPr>
          <w:trHeight w:val="615" w:hRule="atLeast"/>
          <w:jc w:val="center"/>
        </w:trPr>
        <w:tc>
          <w:tcPr>
            <w:tcW w:w="1894" w:type="dxa"/>
            <w:tcBorders>
              <w:top w:val="single" w:color="auto" w:sz="4" w:space="0"/>
              <w:left w:val="single" w:color="auto" w:sz="4" w:space="0"/>
              <w:bottom w:val="single" w:color="auto" w:sz="4" w:space="0"/>
              <w:right w:val="single" w:color="auto" w:sz="4" w:space="0"/>
            </w:tcBorders>
            <w:vAlign w:val="center"/>
          </w:tcPr>
          <w:p>
            <w:pPr>
              <w:outlineLvl w:val="0"/>
              <w:rPr>
                <w:rFonts w:ascii="Times New Roman" w:hAnsi="Times New Roman"/>
                <w:bCs/>
                <w:sz w:val="24"/>
              </w:rPr>
            </w:pPr>
            <w:r>
              <w:rPr>
                <w:rFonts w:hint="eastAsia" w:ascii="Times New Roman" w:hAnsi="Times New Roman"/>
                <w:bCs/>
                <w:sz w:val="24"/>
              </w:rPr>
              <w:t>六、机器学习基本原理方法及应用实例演示</w:t>
            </w:r>
          </w:p>
        </w:tc>
        <w:tc>
          <w:tcPr>
            <w:tcW w:w="8611" w:type="dxa"/>
            <w:tcBorders>
              <w:top w:val="single" w:color="auto" w:sz="4" w:space="0"/>
              <w:left w:val="single" w:color="auto" w:sz="4" w:space="0"/>
              <w:bottom w:val="single" w:color="auto" w:sz="4" w:space="0"/>
              <w:right w:val="single" w:color="auto" w:sz="4" w:space="0"/>
            </w:tcBorders>
          </w:tcPr>
          <w:p>
            <w:pPr>
              <w:spacing w:line="360" w:lineRule="exact"/>
              <w:rPr>
                <w:rFonts w:ascii="Times New Roman" w:hAnsi="Times New Roman"/>
                <w:bCs/>
                <w:color w:val="000000"/>
                <w:sz w:val="24"/>
              </w:rPr>
            </w:pPr>
            <w:r>
              <w:rPr>
                <w:rFonts w:hint="eastAsia" w:ascii="Times New Roman" w:hAnsi="Times New Roman"/>
                <w:b/>
                <w:bCs/>
                <w:color w:val="000000"/>
                <w:sz w:val="24"/>
              </w:rPr>
              <w:t>问题</w:t>
            </w:r>
            <w:r>
              <w:rPr>
                <w:rFonts w:hint="eastAsia" w:ascii="Times New Roman" w:hAnsi="Times New Roman"/>
                <w:bCs/>
                <w:color w:val="000000"/>
                <w:sz w:val="24"/>
              </w:rPr>
              <w:t>：如何从食品安全与健康医疗业务角度理解机器学习原理、方法及应用？</w:t>
            </w:r>
          </w:p>
          <w:p>
            <w:pPr>
              <w:spacing w:line="360" w:lineRule="exact"/>
              <w:rPr>
                <w:rFonts w:ascii="Times New Roman" w:hAnsi="Times New Roman"/>
                <w:bCs/>
                <w:color w:val="000000"/>
                <w:sz w:val="24"/>
              </w:rPr>
            </w:pPr>
            <w:r>
              <w:rPr>
                <w:rFonts w:hint="eastAsia" w:ascii="Times New Roman" w:hAnsi="Times New Roman"/>
                <w:b/>
                <w:bCs/>
                <w:color w:val="000000"/>
                <w:sz w:val="24"/>
              </w:rPr>
              <w:t>解决方案</w:t>
            </w:r>
            <w:r>
              <w:rPr>
                <w:rFonts w:hint="eastAsia" w:ascii="Times New Roman" w:hAnsi="Times New Roman"/>
                <w:bCs/>
                <w:color w:val="000000"/>
                <w:sz w:val="24"/>
              </w:rPr>
              <w:t>：应用食品监督抽检数据，采用简明理论讲解与实际操作相结合的授课方式，加深学员对机器学习解决食品安全问题的全面理解。</w:t>
            </w:r>
          </w:p>
          <w:p>
            <w:pPr>
              <w:spacing w:line="360" w:lineRule="exact"/>
              <w:rPr>
                <w:rFonts w:ascii="Times New Roman" w:hAnsi="Times New Roman"/>
                <w:b/>
                <w:bCs/>
                <w:sz w:val="24"/>
              </w:rPr>
            </w:pPr>
            <w:r>
              <w:rPr>
                <w:rFonts w:hint="eastAsia" w:ascii="Times New Roman" w:hAnsi="Times New Roman"/>
                <w:b/>
                <w:bCs/>
                <w:color w:val="000000"/>
                <w:sz w:val="24"/>
              </w:rPr>
              <w:t>预期效果：</w:t>
            </w:r>
            <w:r>
              <w:rPr>
                <w:rFonts w:hint="eastAsia" w:ascii="Times New Roman" w:hAnsi="Times New Roman"/>
                <w:bCs/>
                <w:color w:val="000000"/>
                <w:sz w:val="24"/>
              </w:rPr>
              <w:t>学员系统掌握机器学习的定义及在食品安全监管领域的相关应用。</w:t>
            </w:r>
          </w:p>
        </w:tc>
      </w:tr>
      <w:tr>
        <w:tblPrEx>
          <w:tblLayout w:type="fixed"/>
          <w:tblCellMar>
            <w:top w:w="0" w:type="dxa"/>
            <w:left w:w="108" w:type="dxa"/>
            <w:bottom w:w="0" w:type="dxa"/>
            <w:right w:w="108" w:type="dxa"/>
          </w:tblCellMar>
        </w:tblPrEx>
        <w:trPr>
          <w:trHeight w:val="615" w:hRule="atLeast"/>
          <w:jc w:val="center"/>
        </w:trPr>
        <w:tc>
          <w:tcPr>
            <w:tcW w:w="1894" w:type="dxa"/>
            <w:tcBorders>
              <w:top w:val="single" w:color="auto" w:sz="4" w:space="0"/>
              <w:left w:val="single" w:color="auto" w:sz="4" w:space="0"/>
              <w:bottom w:val="single" w:color="auto" w:sz="4" w:space="0"/>
              <w:right w:val="single" w:color="auto" w:sz="4" w:space="0"/>
            </w:tcBorders>
            <w:vAlign w:val="center"/>
          </w:tcPr>
          <w:p>
            <w:pPr>
              <w:outlineLvl w:val="0"/>
              <w:rPr>
                <w:rFonts w:ascii="Times New Roman" w:hAnsi="Times New Roman"/>
                <w:bCs/>
                <w:sz w:val="24"/>
              </w:rPr>
            </w:pPr>
            <w:r>
              <w:rPr>
                <w:rFonts w:hint="eastAsia" w:ascii="Times New Roman" w:hAnsi="Times New Roman"/>
                <w:bCs/>
                <w:sz w:val="24"/>
              </w:rPr>
              <w:t>七、食品安全与健康医疗空间数据的转换和处理</w:t>
            </w:r>
          </w:p>
        </w:tc>
        <w:tc>
          <w:tcPr>
            <w:tcW w:w="8611" w:type="dxa"/>
            <w:tcBorders>
              <w:top w:val="single" w:color="auto" w:sz="4" w:space="0"/>
              <w:left w:val="single" w:color="auto" w:sz="4" w:space="0"/>
              <w:bottom w:val="single" w:color="auto" w:sz="4" w:space="0"/>
              <w:right w:val="single" w:color="auto" w:sz="4" w:space="0"/>
            </w:tcBorders>
          </w:tcPr>
          <w:p>
            <w:pPr>
              <w:spacing w:line="360" w:lineRule="exact"/>
              <w:rPr>
                <w:rFonts w:ascii="Times New Roman" w:hAnsi="Times New Roman"/>
                <w:bCs/>
                <w:sz w:val="24"/>
              </w:rPr>
            </w:pPr>
            <w:r>
              <w:rPr>
                <w:rFonts w:hint="eastAsia" w:ascii="Times New Roman" w:hAnsi="Times New Roman"/>
                <w:b/>
                <w:bCs/>
                <w:sz w:val="24"/>
              </w:rPr>
              <w:t>问题</w:t>
            </w:r>
            <w:r>
              <w:rPr>
                <w:rFonts w:hint="eastAsia" w:ascii="Times New Roman" w:hAnsi="Times New Roman"/>
                <w:bCs/>
                <w:sz w:val="24"/>
              </w:rPr>
              <w:t>：如何将不同格式的食品安全与健康医疗数据进行转换？</w:t>
            </w:r>
          </w:p>
          <w:p>
            <w:pPr>
              <w:spacing w:line="380" w:lineRule="exact"/>
              <w:rPr>
                <w:rFonts w:ascii="Times New Roman" w:hAnsi="Times New Roman"/>
                <w:sz w:val="24"/>
              </w:rPr>
            </w:pPr>
            <w:r>
              <w:rPr>
                <w:rFonts w:hint="eastAsia" w:ascii="Times New Roman" w:hAnsi="Times New Roman"/>
                <w:b/>
                <w:bCs/>
                <w:sz w:val="24"/>
              </w:rPr>
              <w:t>解决方案</w:t>
            </w:r>
            <w:r>
              <w:rPr>
                <w:rFonts w:hint="eastAsia" w:ascii="Times New Roman" w:hAnsi="Times New Roman"/>
                <w:bCs/>
                <w:sz w:val="24"/>
              </w:rPr>
              <w:t>：</w:t>
            </w:r>
            <w:r>
              <w:rPr>
                <w:rFonts w:hint="eastAsia" w:ascii="Times New Roman" w:hAnsi="Times New Roman"/>
                <w:sz w:val="24"/>
              </w:rPr>
              <w:t>地图投影简介；常用地图投影介绍；地图投影变换操作；疾病空间数据格式转换；ArcGIS与外部数据的转换。</w:t>
            </w:r>
          </w:p>
          <w:p>
            <w:pPr>
              <w:spacing w:line="360" w:lineRule="exact"/>
              <w:rPr>
                <w:rFonts w:ascii="Times New Roman" w:hAnsi="Times New Roman"/>
                <w:bCs/>
                <w:sz w:val="24"/>
              </w:rPr>
            </w:pPr>
            <w:r>
              <w:rPr>
                <w:rFonts w:hint="eastAsia" w:ascii="Times New Roman" w:hAnsi="Times New Roman"/>
                <w:b/>
                <w:bCs/>
                <w:sz w:val="24"/>
              </w:rPr>
              <w:t>预期效果：</w:t>
            </w:r>
            <w:r>
              <w:rPr>
                <w:rFonts w:hint="eastAsia" w:ascii="Times New Roman" w:hAnsi="Times New Roman"/>
                <w:bCs/>
                <w:sz w:val="24"/>
              </w:rPr>
              <w:t>学员系统掌握食品安全与健康医疗数据的转换和处理。</w:t>
            </w:r>
          </w:p>
        </w:tc>
      </w:tr>
      <w:tr>
        <w:tblPrEx>
          <w:tblLayout w:type="fixed"/>
          <w:tblCellMar>
            <w:top w:w="0" w:type="dxa"/>
            <w:left w:w="108" w:type="dxa"/>
            <w:bottom w:w="0" w:type="dxa"/>
            <w:right w:w="108" w:type="dxa"/>
          </w:tblCellMar>
        </w:tblPrEx>
        <w:trPr>
          <w:trHeight w:val="615" w:hRule="atLeast"/>
          <w:jc w:val="center"/>
        </w:trPr>
        <w:tc>
          <w:tcPr>
            <w:tcW w:w="1894" w:type="dxa"/>
            <w:tcBorders>
              <w:top w:val="single" w:color="auto" w:sz="4" w:space="0"/>
              <w:left w:val="single" w:color="auto" w:sz="4" w:space="0"/>
              <w:bottom w:val="single" w:color="auto" w:sz="4" w:space="0"/>
              <w:right w:val="single" w:color="auto" w:sz="4" w:space="0"/>
            </w:tcBorders>
            <w:vAlign w:val="center"/>
          </w:tcPr>
          <w:p>
            <w:pPr>
              <w:outlineLvl w:val="0"/>
              <w:rPr>
                <w:rFonts w:ascii="Times New Roman" w:hAnsi="Times New Roman"/>
                <w:bCs/>
                <w:sz w:val="24"/>
              </w:rPr>
            </w:pPr>
            <w:r>
              <w:rPr>
                <w:rFonts w:hint="eastAsia" w:ascii="Times New Roman" w:hAnsi="Times New Roman"/>
                <w:bCs/>
                <w:sz w:val="24"/>
              </w:rPr>
              <w:t>八、食品安全专题：时空数据可视化</w:t>
            </w:r>
          </w:p>
        </w:tc>
        <w:tc>
          <w:tcPr>
            <w:tcW w:w="8611" w:type="dxa"/>
            <w:tcBorders>
              <w:top w:val="single" w:color="auto" w:sz="4" w:space="0"/>
              <w:left w:val="single" w:color="auto" w:sz="4" w:space="0"/>
              <w:bottom w:val="single" w:color="auto" w:sz="4" w:space="0"/>
              <w:right w:val="single" w:color="auto" w:sz="4" w:space="0"/>
            </w:tcBorders>
          </w:tcPr>
          <w:p>
            <w:pPr>
              <w:spacing w:line="360" w:lineRule="exact"/>
              <w:rPr>
                <w:rFonts w:ascii="Times New Roman" w:hAnsi="Times New Roman"/>
                <w:bCs/>
                <w:sz w:val="24"/>
              </w:rPr>
            </w:pPr>
            <w:r>
              <w:rPr>
                <w:rFonts w:hint="eastAsia" w:ascii="Times New Roman" w:hAnsi="Times New Roman"/>
                <w:b/>
                <w:bCs/>
                <w:sz w:val="24"/>
              </w:rPr>
              <w:t>问题</w:t>
            </w:r>
            <w:r>
              <w:rPr>
                <w:rFonts w:hint="eastAsia" w:ascii="Times New Roman" w:hAnsi="Times New Roman"/>
                <w:bCs/>
                <w:sz w:val="24"/>
              </w:rPr>
              <w:t>：如何实现食品安全相关时空数据的可视化？</w:t>
            </w:r>
          </w:p>
          <w:p>
            <w:pPr>
              <w:spacing w:line="360" w:lineRule="exact"/>
              <w:rPr>
                <w:rFonts w:ascii="Times New Roman" w:hAnsi="Times New Roman"/>
                <w:sz w:val="24"/>
              </w:rPr>
            </w:pPr>
            <w:r>
              <w:rPr>
                <w:rFonts w:hint="eastAsia" w:ascii="Times New Roman" w:hAnsi="Times New Roman"/>
                <w:b/>
                <w:bCs/>
                <w:sz w:val="24"/>
              </w:rPr>
              <w:t>解决方案</w:t>
            </w:r>
            <w:r>
              <w:rPr>
                <w:rFonts w:hint="eastAsia" w:ascii="Times New Roman" w:hAnsi="Times New Roman"/>
                <w:bCs/>
                <w:sz w:val="24"/>
              </w:rPr>
              <w:t>：</w:t>
            </w:r>
            <w:r>
              <w:rPr>
                <w:rFonts w:ascii="Times New Roman" w:hAnsi="Times New Roman"/>
                <w:sz w:val="24"/>
              </w:rPr>
              <w:t>GIS制图简介</w:t>
            </w:r>
            <w:r>
              <w:rPr>
                <w:rFonts w:hint="eastAsia" w:ascii="Times New Roman" w:hAnsi="Times New Roman"/>
                <w:sz w:val="24"/>
              </w:rPr>
              <w:t>；制图符号介绍；</w:t>
            </w:r>
            <w:r>
              <w:rPr>
                <w:rFonts w:ascii="Times New Roman" w:hAnsi="Times New Roman"/>
                <w:sz w:val="24"/>
              </w:rPr>
              <w:t>空间数据显示</w:t>
            </w:r>
            <w:r>
              <w:rPr>
                <w:rFonts w:hint="eastAsia" w:ascii="Times New Roman" w:hAnsi="Times New Roman"/>
                <w:sz w:val="24"/>
              </w:rPr>
              <w:t>的符号</w:t>
            </w:r>
            <w:r>
              <w:rPr>
                <w:rFonts w:ascii="Times New Roman" w:hAnsi="Times New Roman"/>
                <w:sz w:val="24"/>
              </w:rPr>
              <w:t>设置</w:t>
            </w:r>
            <w:r>
              <w:rPr>
                <w:rFonts w:hint="eastAsia" w:ascii="Times New Roman" w:hAnsi="Times New Roman"/>
                <w:sz w:val="24"/>
              </w:rPr>
              <w:t>；标注与注记；</w:t>
            </w:r>
            <w:r>
              <w:rPr>
                <w:rFonts w:hint="eastAsia" w:ascii="Times New Roman" w:hAnsi="Times New Roman"/>
                <w:bCs/>
                <w:sz w:val="24"/>
              </w:rPr>
              <w:t>食品安全专题</w:t>
            </w:r>
            <w:r>
              <w:rPr>
                <w:rFonts w:hint="eastAsia" w:ascii="Times New Roman" w:hAnsi="Times New Roman"/>
                <w:sz w:val="24"/>
              </w:rPr>
              <w:t>图布局设计；</w:t>
            </w:r>
            <w:r>
              <w:rPr>
                <w:rFonts w:hint="eastAsia" w:ascii="Times New Roman" w:hAnsi="Times New Roman"/>
                <w:bCs/>
                <w:sz w:val="24"/>
              </w:rPr>
              <w:t>食品安全专题</w:t>
            </w:r>
            <w:r>
              <w:rPr>
                <w:rFonts w:ascii="Times New Roman" w:hAnsi="Times New Roman"/>
                <w:sz w:val="24"/>
              </w:rPr>
              <w:t>地图</w:t>
            </w:r>
            <w:r>
              <w:rPr>
                <w:rFonts w:hint="eastAsia" w:ascii="Times New Roman" w:hAnsi="Times New Roman"/>
                <w:sz w:val="24"/>
              </w:rPr>
              <w:t>整饰；</w:t>
            </w:r>
            <w:r>
              <w:rPr>
                <w:rFonts w:hint="eastAsia" w:ascii="Times New Roman" w:hAnsi="Times New Roman"/>
                <w:bCs/>
                <w:sz w:val="24"/>
              </w:rPr>
              <w:t>食品安全专题</w:t>
            </w:r>
            <w:r>
              <w:rPr>
                <w:rFonts w:hint="eastAsia" w:ascii="Times New Roman" w:hAnsi="Times New Roman"/>
                <w:sz w:val="24"/>
              </w:rPr>
              <w:t>地图的输出与保存；公里网格及多种制图技巧介绍。</w:t>
            </w:r>
          </w:p>
          <w:p>
            <w:pPr>
              <w:spacing w:line="360" w:lineRule="exact"/>
              <w:rPr>
                <w:rFonts w:ascii="Times New Roman" w:hAnsi="Times New Roman"/>
                <w:bCs/>
                <w:sz w:val="24"/>
              </w:rPr>
            </w:pPr>
            <w:r>
              <w:rPr>
                <w:rFonts w:hint="eastAsia" w:ascii="Times New Roman" w:hAnsi="Times New Roman"/>
                <w:b/>
                <w:bCs/>
                <w:sz w:val="24"/>
              </w:rPr>
              <w:t>预期效果：</w:t>
            </w:r>
            <w:r>
              <w:rPr>
                <w:rFonts w:hint="eastAsia" w:ascii="Times New Roman" w:hAnsi="Times New Roman"/>
                <w:bCs/>
                <w:sz w:val="24"/>
              </w:rPr>
              <w:t>学员系统掌握食品安全专题地图制作。</w:t>
            </w:r>
          </w:p>
        </w:tc>
      </w:tr>
      <w:tr>
        <w:tblPrEx>
          <w:tblLayout w:type="fixed"/>
          <w:tblCellMar>
            <w:top w:w="0" w:type="dxa"/>
            <w:left w:w="108" w:type="dxa"/>
            <w:bottom w:w="0" w:type="dxa"/>
            <w:right w:w="108" w:type="dxa"/>
          </w:tblCellMar>
        </w:tblPrEx>
        <w:trPr>
          <w:trHeight w:val="458" w:hRule="atLeast"/>
          <w:jc w:val="center"/>
        </w:trPr>
        <w:tc>
          <w:tcPr>
            <w:tcW w:w="1894" w:type="dxa"/>
            <w:tcBorders>
              <w:top w:val="single" w:color="auto" w:sz="4" w:space="0"/>
              <w:left w:val="single" w:color="auto" w:sz="4" w:space="0"/>
              <w:bottom w:val="single" w:color="auto" w:sz="4" w:space="0"/>
              <w:right w:val="single" w:color="auto" w:sz="4" w:space="0"/>
            </w:tcBorders>
            <w:vAlign w:val="center"/>
          </w:tcPr>
          <w:p>
            <w:pPr>
              <w:rPr>
                <w:rFonts w:ascii="Times New Roman" w:hAnsi="Times New Roman"/>
                <w:bCs/>
                <w:color w:val="000000"/>
                <w:sz w:val="24"/>
              </w:rPr>
            </w:pPr>
            <w:r>
              <w:rPr>
                <w:rFonts w:hint="eastAsia" w:ascii="Times New Roman" w:hAnsi="Times New Roman"/>
                <w:bCs/>
                <w:color w:val="000000"/>
                <w:sz w:val="24"/>
              </w:rPr>
              <w:t>九、食品安全探索性空间分析</w:t>
            </w:r>
          </w:p>
        </w:tc>
        <w:tc>
          <w:tcPr>
            <w:tcW w:w="8611"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Times New Roman" w:hAnsi="Times New Roman"/>
                <w:bCs/>
                <w:sz w:val="24"/>
              </w:rPr>
            </w:pPr>
            <w:r>
              <w:rPr>
                <w:rFonts w:hint="eastAsia" w:ascii="Times New Roman" w:hAnsi="Times New Roman"/>
                <w:b/>
                <w:bCs/>
                <w:sz w:val="24"/>
              </w:rPr>
              <w:t>问题</w:t>
            </w:r>
            <w:r>
              <w:rPr>
                <w:rFonts w:hint="eastAsia" w:ascii="Times New Roman" w:hAnsi="Times New Roman"/>
                <w:bCs/>
                <w:sz w:val="24"/>
              </w:rPr>
              <w:t>：如何进行探索性数据分析？</w:t>
            </w:r>
          </w:p>
          <w:p>
            <w:pPr>
              <w:spacing w:line="360" w:lineRule="exact"/>
              <w:rPr>
                <w:rFonts w:ascii="Times New Roman" w:hAnsi="Times New Roman"/>
                <w:bCs/>
                <w:sz w:val="24"/>
              </w:rPr>
            </w:pPr>
            <w:r>
              <w:rPr>
                <w:rFonts w:hint="eastAsia" w:ascii="Times New Roman" w:hAnsi="Times New Roman"/>
                <w:b/>
                <w:bCs/>
                <w:sz w:val="24"/>
              </w:rPr>
              <w:t>解决方案</w:t>
            </w:r>
            <w:r>
              <w:rPr>
                <w:rFonts w:hint="eastAsia" w:ascii="Times New Roman" w:hAnsi="Times New Roman"/>
                <w:bCs/>
                <w:sz w:val="24"/>
              </w:rPr>
              <w:t>：学习探索性性数据分析。</w:t>
            </w:r>
          </w:p>
          <w:p>
            <w:pPr>
              <w:spacing w:line="360" w:lineRule="exact"/>
              <w:rPr>
                <w:rFonts w:ascii="Times New Roman" w:hAnsi="Times New Roman"/>
                <w:bCs/>
                <w:sz w:val="24"/>
              </w:rPr>
            </w:pPr>
            <w:r>
              <w:rPr>
                <w:rFonts w:hint="eastAsia" w:ascii="Times New Roman" w:hAnsi="Times New Roman"/>
                <w:b/>
                <w:bCs/>
                <w:sz w:val="24"/>
              </w:rPr>
              <w:t>预期效果：</w:t>
            </w:r>
            <w:r>
              <w:rPr>
                <w:rFonts w:hint="eastAsia" w:ascii="Times New Roman" w:hAnsi="Times New Roman"/>
                <w:bCs/>
                <w:sz w:val="24"/>
              </w:rPr>
              <w:t>学员掌握探索性数据分析，通过可视化技术启发专业思维，揭示隐患，结合专业判断提出科学假设。</w:t>
            </w:r>
          </w:p>
        </w:tc>
      </w:tr>
      <w:tr>
        <w:tblPrEx>
          <w:tblLayout w:type="fixed"/>
          <w:tblCellMar>
            <w:top w:w="0" w:type="dxa"/>
            <w:left w:w="108" w:type="dxa"/>
            <w:bottom w:w="0" w:type="dxa"/>
            <w:right w:w="108" w:type="dxa"/>
          </w:tblCellMar>
        </w:tblPrEx>
        <w:trPr>
          <w:trHeight w:val="841" w:hRule="atLeast"/>
          <w:jc w:val="center"/>
        </w:trPr>
        <w:tc>
          <w:tcPr>
            <w:tcW w:w="1894" w:type="dxa"/>
            <w:tcBorders>
              <w:top w:val="single" w:color="auto" w:sz="4" w:space="0"/>
              <w:left w:val="single" w:color="auto" w:sz="4" w:space="0"/>
              <w:bottom w:val="single" w:color="auto" w:sz="4" w:space="0"/>
              <w:right w:val="single" w:color="auto" w:sz="4" w:space="0"/>
            </w:tcBorders>
            <w:vAlign w:val="center"/>
          </w:tcPr>
          <w:p>
            <w:pPr>
              <w:rPr>
                <w:rFonts w:ascii="Times New Roman" w:hAnsi="Times New Roman"/>
                <w:bCs/>
                <w:color w:val="000000"/>
                <w:sz w:val="24"/>
              </w:rPr>
            </w:pPr>
            <w:r>
              <w:rPr>
                <w:rFonts w:hint="eastAsia" w:ascii="Times New Roman" w:hAnsi="Times New Roman"/>
                <w:bCs/>
                <w:color w:val="000000"/>
                <w:sz w:val="24"/>
              </w:rPr>
              <w:t>十、基于食品安全调查数据制作地图应用实例</w:t>
            </w:r>
          </w:p>
        </w:tc>
        <w:tc>
          <w:tcPr>
            <w:tcW w:w="8611"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Times New Roman" w:hAnsi="Times New Roman"/>
                <w:bCs/>
                <w:sz w:val="24"/>
              </w:rPr>
            </w:pPr>
            <w:r>
              <w:rPr>
                <w:rFonts w:hint="eastAsia" w:ascii="Times New Roman" w:hAnsi="Times New Roman"/>
                <w:b/>
                <w:bCs/>
                <w:sz w:val="24"/>
              </w:rPr>
              <w:t>问题</w:t>
            </w:r>
            <w:r>
              <w:rPr>
                <w:rFonts w:hint="eastAsia" w:ascii="Times New Roman" w:hAnsi="Times New Roman"/>
                <w:bCs/>
                <w:sz w:val="24"/>
              </w:rPr>
              <w:t>：如何实现小区域范围（例如在地图上没有行政边界的村庄）的基于坐标点调查数据进行空间统计分析？</w:t>
            </w:r>
          </w:p>
          <w:p>
            <w:pPr>
              <w:spacing w:line="360" w:lineRule="exact"/>
              <w:rPr>
                <w:rFonts w:ascii="Times New Roman" w:hAnsi="Times New Roman"/>
                <w:bCs/>
                <w:sz w:val="24"/>
              </w:rPr>
            </w:pPr>
            <w:r>
              <w:rPr>
                <w:rFonts w:hint="eastAsia" w:ascii="Times New Roman" w:hAnsi="Times New Roman"/>
                <w:b/>
                <w:bCs/>
                <w:sz w:val="24"/>
              </w:rPr>
              <w:t>解决方案</w:t>
            </w:r>
            <w:r>
              <w:rPr>
                <w:rFonts w:hint="eastAsia" w:ascii="Times New Roman" w:hAnsi="Times New Roman"/>
                <w:bCs/>
                <w:sz w:val="24"/>
              </w:rPr>
              <w:t>：采用泰森多边形插值分析，利用坐标点数据模拟生成村边界，定义投影及投影坐标转换。</w:t>
            </w:r>
          </w:p>
          <w:p>
            <w:pPr>
              <w:spacing w:line="360" w:lineRule="exact"/>
              <w:rPr>
                <w:rFonts w:ascii="Times New Roman" w:hAnsi="Times New Roman"/>
                <w:bCs/>
                <w:sz w:val="24"/>
              </w:rPr>
            </w:pPr>
            <w:r>
              <w:rPr>
                <w:rFonts w:hint="eastAsia" w:ascii="Times New Roman" w:hAnsi="Times New Roman"/>
                <w:b/>
                <w:bCs/>
                <w:sz w:val="24"/>
              </w:rPr>
              <w:t>预期效果：</w:t>
            </w:r>
            <w:r>
              <w:rPr>
                <w:rFonts w:hint="eastAsia" w:ascii="Times New Roman" w:hAnsi="Times New Roman"/>
                <w:bCs/>
                <w:sz w:val="24"/>
              </w:rPr>
              <w:t>学员掌握基于坐标点模拟生成边界，适合基层人员开展流行病学调查及数据分析。</w:t>
            </w:r>
          </w:p>
        </w:tc>
      </w:tr>
      <w:tr>
        <w:tblPrEx>
          <w:tblLayout w:type="fixed"/>
          <w:tblCellMar>
            <w:top w:w="0" w:type="dxa"/>
            <w:left w:w="108" w:type="dxa"/>
            <w:bottom w:w="0" w:type="dxa"/>
            <w:right w:w="108" w:type="dxa"/>
          </w:tblCellMar>
        </w:tblPrEx>
        <w:trPr>
          <w:trHeight w:val="980" w:hRule="atLeast"/>
          <w:jc w:val="center"/>
        </w:trPr>
        <w:tc>
          <w:tcPr>
            <w:tcW w:w="1894" w:type="dxa"/>
            <w:tcBorders>
              <w:top w:val="single" w:color="auto" w:sz="4" w:space="0"/>
              <w:left w:val="single" w:color="auto" w:sz="4" w:space="0"/>
              <w:bottom w:val="single" w:color="auto" w:sz="4" w:space="0"/>
              <w:right w:val="single" w:color="auto" w:sz="4" w:space="0"/>
            </w:tcBorders>
            <w:vAlign w:val="center"/>
          </w:tcPr>
          <w:p>
            <w:pPr>
              <w:rPr>
                <w:rFonts w:ascii="Times New Roman" w:hAnsi="Times New Roman"/>
                <w:bCs/>
                <w:color w:val="000000"/>
                <w:sz w:val="24"/>
              </w:rPr>
            </w:pPr>
            <w:r>
              <w:rPr>
                <w:rFonts w:hint="eastAsia" w:ascii="Times New Roman" w:hAnsi="Times New Roman"/>
                <w:bCs/>
                <w:color w:val="000000"/>
                <w:sz w:val="24"/>
              </w:rPr>
              <w:t>十一、风险监测数据空间聚集性分析及应用实例</w:t>
            </w:r>
          </w:p>
        </w:tc>
        <w:tc>
          <w:tcPr>
            <w:tcW w:w="8611"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Times New Roman" w:hAnsi="Times New Roman"/>
                <w:bCs/>
                <w:sz w:val="24"/>
              </w:rPr>
            </w:pPr>
            <w:r>
              <w:rPr>
                <w:rFonts w:hint="eastAsia" w:ascii="Times New Roman" w:hAnsi="Times New Roman"/>
                <w:b/>
                <w:bCs/>
                <w:sz w:val="24"/>
              </w:rPr>
              <w:t>问题</w:t>
            </w:r>
            <w:r>
              <w:rPr>
                <w:rFonts w:hint="eastAsia" w:ascii="Times New Roman" w:hAnsi="Times New Roman"/>
                <w:bCs/>
                <w:sz w:val="24"/>
              </w:rPr>
              <w:t>：食品安全数据在地理空间上是如何分布的？有什么规律？如何定量表达这些规律？</w:t>
            </w:r>
          </w:p>
          <w:p>
            <w:pPr>
              <w:spacing w:line="360" w:lineRule="exact"/>
              <w:rPr>
                <w:rFonts w:ascii="Times New Roman" w:hAnsi="Times New Roman"/>
                <w:bCs/>
                <w:sz w:val="24"/>
              </w:rPr>
            </w:pPr>
            <w:r>
              <w:rPr>
                <w:rFonts w:hint="eastAsia" w:ascii="Times New Roman" w:hAnsi="Times New Roman"/>
                <w:b/>
                <w:bCs/>
                <w:sz w:val="24"/>
              </w:rPr>
              <w:t>解决方案</w:t>
            </w:r>
            <w:r>
              <w:rPr>
                <w:rFonts w:hint="eastAsia" w:ascii="Times New Roman" w:hAnsi="Times New Roman"/>
                <w:bCs/>
                <w:sz w:val="24"/>
              </w:rPr>
              <w:t>：食品安全数据的空间分布的格局分析方法</w:t>
            </w:r>
            <w:r>
              <w:rPr>
                <w:rFonts w:ascii="Times New Roman" w:hAnsi="Times New Roman"/>
                <w:bCs/>
                <w:sz w:val="24"/>
              </w:rPr>
              <w:t>:</w:t>
            </w:r>
            <w:r>
              <w:rPr>
                <w:rFonts w:hint="eastAsia" w:ascii="Times New Roman" w:hAnsi="Times New Roman"/>
                <w:bCs/>
                <w:sz w:val="24"/>
              </w:rPr>
              <w:t>空间自相关分析、空间热点分析；热点探测</w:t>
            </w:r>
            <w:r>
              <w:rPr>
                <w:rFonts w:ascii="Times New Roman" w:hAnsi="Times New Roman"/>
                <w:bCs/>
                <w:sz w:val="24"/>
              </w:rPr>
              <w:t xml:space="preserve"> Moran’s I, Getis G (global &amp; local)</w:t>
            </w:r>
            <w:r>
              <w:rPr>
                <w:rFonts w:hint="eastAsia" w:ascii="Times New Roman" w:hAnsi="Times New Roman"/>
                <w:bCs/>
                <w:sz w:val="24"/>
              </w:rPr>
              <w:t>。</w:t>
            </w:r>
          </w:p>
          <w:p>
            <w:pPr>
              <w:spacing w:line="360" w:lineRule="exact"/>
              <w:rPr>
                <w:rFonts w:ascii="Times New Roman" w:hAnsi="Times New Roman"/>
                <w:bCs/>
                <w:sz w:val="24"/>
              </w:rPr>
            </w:pPr>
            <w:r>
              <w:rPr>
                <w:rFonts w:hint="eastAsia" w:ascii="Times New Roman" w:hAnsi="Times New Roman"/>
                <w:b/>
                <w:bCs/>
                <w:sz w:val="24"/>
              </w:rPr>
              <w:t>预期效果：</w:t>
            </w:r>
            <w:r>
              <w:rPr>
                <w:rFonts w:hint="eastAsia" w:ascii="Times New Roman" w:hAnsi="Times New Roman"/>
                <w:bCs/>
                <w:sz w:val="24"/>
              </w:rPr>
              <w:t>学员掌握透过现象看本质，深入挖掘数据的聚集效应，提高疾病预防控制的精度、准度、效度。</w:t>
            </w:r>
          </w:p>
        </w:tc>
      </w:tr>
      <w:tr>
        <w:tblPrEx>
          <w:tblLayout w:type="fixed"/>
          <w:tblCellMar>
            <w:top w:w="0" w:type="dxa"/>
            <w:left w:w="108" w:type="dxa"/>
            <w:bottom w:w="0" w:type="dxa"/>
            <w:right w:w="108" w:type="dxa"/>
          </w:tblCellMar>
        </w:tblPrEx>
        <w:trPr>
          <w:trHeight w:val="841" w:hRule="atLeast"/>
          <w:jc w:val="center"/>
        </w:trPr>
        <w:tc>
          <w:tcPr>
            <w:tcW w:w="1894" w:type="dxa"/>
            <w:tcBorders>
              <w:top w:val="single" w:color="auto" w:sz="4" w:space="0"/>
              <w:left w:val="single" w:color="auto" w:sz="4" w:space="0"/>
              <w:bottom w:val="single" w:color="auto" w:sz="4" w:space="0"/>
              <w:right w:val="single" w:color="auto" w:sz="4" w:space="0"/>
            </w:tcBorders>
            <w:vAlign w:val="center"/>
          </w:tcPr>
          <w:p>
            <w:pPr>
              <w:rPr>
                <w:rFonts w:ascii="Times New Roman" w:hAnsi="Times New Roman"/>
                <w:bCs/>
                <w:color w:val="000000"/>
                <w:sz w:val="24"/>
              </w:rPr>
            </w:pPr>
            <w:r>
              <w:rPr>
                <w:rFonts w:hint="eastAsia" w:ascii="Times New Roman" w:hAnsi="Times New Roman"/>
                <w:bCs/>
                <w:color w:val="000000"/>
                <w:sz w:val="24"/>
              </w:rPr>
              <w:t>十二、风险监测数据时空聚集分析及应用实例</w:t>
            </w:r>
          </w:p>
        </w:tc>
        <w:tc>
          <w:tcPr>
            <w:tcW w:w="8611"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Times New Roman" w:hAnsi="Times New Roman"/>
                <w:bCs/>
                <w:sz w:val="24"/>
              </w:rPr>
            </w:pPr>
            <w:r>
              <w:rPr>
                <w:rFonts w:hint="eastAsia" w:ascii="Times New Roman" w:hAnsi="Times New Roman"/>
                <w:b/>
                <w:bCs/>
                <w:sz w:val="24"/>
              </w:rPr>
              <w:t>问题</w:t>
            </w:r>
            <w:r>
              <w:rPr>
                <w:rFonts w:hint="eastAsia" w:ascii="Times New Roman" w:hAnsi="Times New Roman"/>
                <w:bCs/>
                <w:sz w:val="24"/>
              </w:rPr>
              <w:t>：单纯的时间和空间聚集模型存在局限性，如何将时间和空间有机结合起来，提高预警的灵敏度，探测疾病风险？</w:t>
            </w:r>
          </w:p>
          <w:p>
            <w:pPr>
              <w:spacing w:line="360" w:lineRule="exact"/>
              <w:rPr>
                <w:rFonts w:ascii="Times New Roman" w:hAnsi="Times New Roman"/>
                <w:bCs/>
                <w:sz w:val="24"/>
              </w:rPr>
            </w:pPr>
            <w:r>
              <w:rPr>
                <w:rFonts w:hint="eastAsia" w:ascii="Times New Roman" w:hAnsi="Times New Roman"/>
                <w:b/>
                <w:bCs/>
                <w:sz w:val="24"/>
              </w:rPr>
              <w:t>解决办法：</w:t>
            </w:r>
            <w:r>
              <w:rPr>
                <w:rFonts w:hint="eastAsia" w:ascii="Times New Roman" w:hAnsi="Times New Roman"/>
                <w:bCs/>
                <w:sz w:val="24"/>
              </w:rPr>
              <w:t>采用时空扫描统计方法，</w:t>
            </w:r>
            <w:r>
              <w:rPr>
                <w:rFonts w:ascii="Times New Roman" w:hAnsi="Times New Roman"/>
                <w:bCs/>
                <w:sz w:val="24"/>
              </w:rPr>
              <w:t>Satscan+ArcGIS</w:t>
            </w:r>
            <w:r>
              <w:rPr>
                <w:rFonts w:hint="eastAsia" w:ascii="Times New Roman" w:hAnsi="Times New Roman"/>
                <w:bCs/>
                <w:sz w:val="24"/>
              </w:rPr>
              <w:t>（计算机练习）。</w:t>
            </w:r>
          </w:p>
          <w:p>
            <w:pPr>
              <w:spacing w:line="360" w:lineRule="exact"/>
              <w:rPr>
                <w:rFonts w:ascii="Times New Roman" w:hAnsi="Times New Roman"/>
                <w:bCs/>
                <w:sz w:val="24"/>
              </w:rPr>
            </w:pPr>
            <w:r>
              <w:rPr>
                <w:rFonts w:hint="eastAsia" w:ascii="Times New Roman" w:hAnsi="Times New Roman"/>
                <w:b/>
                <w:bCs/>
                <w:sz w:val="24"/>
              </w:rPr>
              <w:t>预期效果：</w:t>
            </w:r>
            <w:r>
              <w:rPr>
                <w:rFonts w:hint="eastAsia" w:ascii="Times New Roman" w:hAnsi="Times New Roman"/>
                <w:bCs/>
                <w:sz w:val="24"/>
              </w:rPr>
              <w:t>应用该模型撰写核心期刊或</w:t>
            </w:r>
            <w:r>
              <w:rPr>
                <w:rFonts w:ascii="Times New Roman" w:hAnsi="Times New Roman"/>
                <w:bCs/>
                <w:sz w:val="24"/>
              </w:rPr>
              <w:t>SCI</w:t>
            </w:r>
            <w:r>
              <w:rPr>
                <w:rFonts w:hint="eastAsia" w:ascii="Times New Roman" w:hAnsi="Times New Roman"/>
                <w:bCs/>
                <w:sz w:val="24"/>
              </w:rPr>
              <w:t>论文。</w:t>
            </w:r>
          </w:p>
        </w:tc>
      </w:tr>
      <w:tr>
        <w:tblPrEx>
          <w:tblLayout w:type="fixed"/>
          <w:tblCellMar>
            <w:top w:w="0" w:type="dxa"/>
            <w:left w:w="108" w:type="dxa"/>
            <w:bottom w:w="0" w:type="dxa"/>
            <w:right w:w="108" w:type="dxa"/>
          </w:tblCellMar>
        </w:tblPrEx>
        <w:trPr>
          <w:trHeight w:val="841" w:hRule="atLeast"/>
          <w:jc w:val="center"/>
        </w:trPr>
        <w:tc>
          <w:tcPr>
            <w:tcW w:w="1894" w:type="dxa"/>
            <w:tcBorders>
              <w:top w:val="single" w:color="auto" w:sz="4" w:space="0"/>
              <w:left w:val="single" w:color="auto" w:sz="4" w:space="0"/>
              <w:bottom w:val="single" w:color="auto" w:sz="4" w:space="0"/>
              <w:right w:val="single" w:color="auto" w:sz="4" w:space="0"/>
            </w:tcBorders>
            <w:vAlign w:val="center"/>
          </w:tcPr>
          <w:p>
            <w:pPr>
              <w:rPr>
                <w:rFonts w:ascii="Times New Roman" w:hAnsi="Times New Roman"/>
                <w:bCs/>
                <w:color w:val="000000"/>
                <w:sz w:val="24"/>
              </w:rPr>
            </w:pPr>
            <w:r>
              <w:rPr>
                <w:rFonts w:hint="eastAsia" w:ascii="Times New Roman" w:hAnsi="Times New Roman"/>
                <w:bCs/>
                <w:color w:val="000000"/>
                <w:sz w:val="24"/>
              </w:rPr>
              <w:t>十三、基于抽样和监测数据进行空间估算及实例练习</w:t>
            </w:r>
          </w:p>
        </w:tc>
        <w:tc>
          <w:tcPr>
            <w:tcW w:w="8611"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Times New Roman" w:hAnsi="Times New Roman"/>
                <w:bCs/>
                <w:sz w:val="24"/>
              </w:rPr>
            </w:pPr>
            <w:r>
              <w:rPr>
                <w:rFonts w:hint="eastAsia" w:ascii="Times New Roman" w:hAnsi="Times New Roman"/>
                <w:b/>
                <w:bCs/>
                <w:sz w:val="24"/>
              </w:rPr>
              <w:t>问题</w:t>
            </w:r>
            <w:r>
              <w:rPr>
                <w:rFonts w:hint="eastAsia" w:ascii="Times New Roman" w:hAnsi="Times New Roman"/>
                <w:bCs/>
                <w:sz w:val="24"/>
              </w:rPr>
              <w:t>：对于某疾病或环境因子来说，只有部分地区有数值，如何预测其它地方缺失的数值？如何利用这些数值制作整个区域的地图？对于小样本数据，如何制图？</w:t>
            </w:r>
          </w:p>
          <w:p>
            <w:pPr>
              <w:spacing w:line="360" w:lineRule="exact"/>
              <w:rPr>
                <w:rFonts w:ascii="Times New Roman" w:hAnsi="Times New Roman"/>
                <w:bCs/>
                <w:sz w:val="24"/>
              </w:rPr>
            </w:pPr>
            <w:r>
              <w:rPr>
                <w:rFonts w:hint="eastAsia" w:ascii="Times New Roman" w:hAnsi="Times New Roman"/>
                <w:b/>
                <w:bCs/>
                <w:sz w:val="24"/>
              </w:rPr>
              <w:t>解决方案</w:t>
            </w:r>
            <w:r>
              <w:rPr>
                <w:rFonts w:hint="eastAsia" w:ascii="Times New Roman" w:hAnsi="Times New Roman"/>
                <w:bCs/>
                <w:sz w:val="24"/>
              </w:rPr>
              <w:t>：</w:t>
            </w:r>
            <w:r>
              <w:rPr>
                <w:rFonts w:ascii="Times New Roman" w:hAnsi="Times New Roman"/>
                <w:bCs/>
                <w:sz w:val="24"/>
              </w:rPr>
              <w:t xml:space="preserve">Kriging </w:t>
            </w:r>
            <w:r>
              <w:rPr>
                <w:rFonts w:hint="eastAsia" w:ascii="Times New Roman" w:hAnsi="Times New Roman"/>
                <w:bCs/>
                <w:sz w:val="24"/>
              </w:rPr>
              <w:t>空间插值。</w:t>
            </w:r>
          </w:p>
          <w:p>
            <w:pPr>
              <w:spacing w:line="360" w:lineRule="exact"/>
              <w:rPr>
                <w:rFonts w:ascii="Times New Roman" w:hAnsi="Times New Roman"/>
                <w:bCs/>
                <w:sz w:val="24"/>
              </w:rPr>
            </w:pPr>
            <w:r>
              <w:rPr>
                <w:rFonts w:hint="eastAsia" w:ascii="Times New Roman" w:hAnsi="Times New Roman"/>
                <w:b/>
                <w:bCs/>
                <w:sz w:val="24"/>
              </w:rPr>
              <w:t>预期效果：</w:t>
            </w:r>
            <w:r>
              <w:rPr>
                <w:rFonts w:hint="eastAsia" w:ascii="Times New Roman" w:hAnsi="Times New Roman"/>
                <w:bCs/>
                <w:sz w:val="24"/>
              </w:rPr>
              <w:t>学员掌握应用空间插值制图、实现对缺失数据的处理，例如通过监测点数据实现对整个区域的空气污染物的分析、估算。</w:t>
            </w:r>
          </w:p>
        </w:tc>
      </w:tr>
      <w:tr>
        <w:tblPrEx>
          <w:tblLayout w:type="fixed"/>
          <w:tblCellMar>
            <w:top w:w="0" w:type="dxa"/>
            <w:left w:w="108" w:type="dxa"/>
            <w:bottom w:w="0" w:type="dxa"/>
            <w:right w:w="108" w:type="dxa"/>
          </w:tblCellMar>
        </w:tblPrEx>
        <w:trPr>
          <w:trHeight w:val="458" w:hRule="atLeast"/>
          <w:jc w:val="center"/>
        </w:trPr>
        <w:tc>
          <w:tcPr>
            <w:tcW w:w="1894" w:type="dxa"/>
            <w:tcBorders>
              <w:top w:val="single" w:color="auto" w:sz="4" w:space="0"/>
              <w:left w:val="single" w:color="auto" w:sz="4" w:space="0"/>
              <w:bottom w:val="single" w:color="auto" w:sz="4" w:space="0"/>
              <w:right w:val="single" w:color="auto" w:sz="4" w:space="0"/>
            </w:tcBorders>
            <w:vAlign w:val="center"/>
          </w:tcPr>
          <w:p>
            <w:pPr>
              <w:rPr>
                <w:rFonts w:ascii="Times New Roman" w:hAnsi="Times New Roman"/>
                <w:bCs/>
                <w:color w:val="000000"/>
                <w:sz w:val="24"/>
              </w:rPr>
            </w:pPr>
            <w:r>
              <w:rPr>
                <w:rFonts w:hint="eastAsia" w:ascii="Times New Roman" w:hAnsi="Times New Roman"/>
                <w:bCs/>
                <w:color w:val="000000"/>
                <w:sz w:val="24"/>
              </w:rPr>
              <w:t>十四、评估环境因素对健康的影响及应用实例</w:t>
            </w:r>
          </w:p>
        </w:tc>
        <w:tc>
          <w:tcPr>
            <w:tcW w:w="8611"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Times New Roman" w:hAnsi="Times New Roman"/>
                <w:bCs/>
                <w:sz w:val="24"/>
              </w:rPr>
            </w:pPr>
            <w:r>
              <w:rPr>
                <w:rFonts w:hint="eastAsia" w:ascii="Times New Roman" w:hAnsi="Times New Roman"/>
                <w:b/>
                <w:bCs/>
                <w:sz w:val="24"/>
              </w:rPr>
              <w:t>问题</w:t>
            </w:r>
            <w:r>
              <w:rPr>
                <w:rFonts w:hint="eastAsia" w:ascii="Times New Roman" w:hAnsi="Times New Roman"/>
                <w:bCs/>
                <w:sz w:val="24"/>
              </w:rPr>
              <w:t>：健康数据空间分布的因素都有哪些？如何通过空间关系来揭示风险因子？传统模型用在空间数据上是否可以？常见空间回归模型有哪些？如何通过这些模型揭示影响健康的风险因子？如何评估环境影响因素对健康的影响？</w:t>
            </w:r>
          </w:p>
          <w:p>
            <w:pPr>
              <w:spacing w:line="360" w:lineRule="exact"/>
              <w:rPr>
                <w:rFonts w:ascii="Times New Roman" w:hAnsi="Times New Roman"/>
                <w:bCs/>
                <w:sz w:val="24"/>
              </w:rPr>
            </w:pPr>
            <w:r>
              <w:rPr>
                <w:rFonts w:hint="eastAsia" w:ascii="Times New Roman" w:hAnsi="Times New Roman"/>
                <w:b/>
                <w:bCs/>
                <w:sz w:val="24"/>
              </w:rPr>
              <w:t>解决方案</w:t>
            </w:r>
            <w:r>
              <w:rPr>
                <w:rFonts w:hint="eastAsia" w:ascii="Times New Roman" w:hAnsi="Times New Roman"/>
                <w:bCs/>
                <w:sz w:val="24"/>
              </w:rPr>
              <w:t>：相关分析：缓冲区分析、地理探测器（计算机练习）。</w:t>
            </w:r>
          </w:p>
          <w:p>
            <w:pPr>
              <w:spacing w:line="360" w:lineRule="exact"/>
              <w:rPr>
                <w:rFonts w:ascii="Times New Roman" w:hAnsi="Times New Roman"/>
                <w:bCs/>
                <w:sz w:val="24"/>
              </w:rPr>
            </w:pPr>
            <w:r>
              <w:rPr>
                <w:rFonts w:hint="eastAsia" w:ascii="Times New Roman" w:hAnsi="Times New Roman"/>
                <w:b/>
                <w:bCs/>
                <w:sz w:val="24"/>
              </w:rPr>
              <w:t>预期效果：</w:t>
            </w:r>
            <w:r>
              <w:rPr>
                <w:rFonts w:hint="eastAsia" w:ascii="Times New Roman" w:hAnsi="Times New Roman"/>
                <w:bCs/>
                <w:sz w:val="24"/>
              </w:rPr>
              <w:t>学员通过掌握上述方法开展环境对健康影响的相关研究，为揭示风险、评估风险、预防风险提供科学决策的依据。</w:t>
            </w:r>
          </w:p>
        </w:tc>
      </w:tr>
      <w:tr>
        <w:tblPrEx>
          <w:tblLayout w:type="fixed"/>
          <w:tblCellMar>
            <w:top w:w="0" w:type="dxa"/>
            <w:left w:w="108" w:type="dxa"/>
            <w:bottom w:w="0" w:type="dxa"/>
            <w:right w:w="108" w:type="dxa"/>
          </w:tblCellMar>
        </w:tblPrEx>
        <w:trPr>
          <w:trHeight w:val="841" w:hRule="atLeast"/>
          <w:jc w:val="center"/>
        </w:trPr>
        <w:tc>
          <w:tcPr>
            <w:tcW w:w="1894" w:type="dxa"/>
            <w:tcBorders>
              <w:top w:val="single" w:color="auto" w:sz="4" w:space="0"/>
              <w:left w:val="single" w:color="auto" w:sz="4" w:space="0"/>
              <w:bottom w:val="single" w:color="auto" w:sz="4" w:space="0"/>
              <w:right w:val="single" w:color="auto" w:sz="4" w:space="0"/>
            </w:tcBorders>
            <w:vAlign w:val="center"/>
          </w:tcPr>
          <w:p>
            <w:pPr>
              <w:rPr>
                <w:rFonts w:ascii="Times New Roman" w:hAnsi="Times New Roman"/>
                <w:bCs/>
                <w:color w:val="000000"/>
                <w:sz w:val="24"/>
              </w:rPr>
            </w:pPr>
            <w:r>
              <w:rPr>
                <w:rFonts w:hint="eastAsia" w:ascii="Times New Roman" w:hAnsi="Times New Roman"/>
                <w:bCs/>
                <w:color w:val="000000"/>
                <w:sz w:val="24"/>
              </w:rPr>
              <w:t>十五、监测数据时空统计方法实例练习</w:t>
            </w:r>
          </w:p>
        </w:tc>
        <w:tc>
          <w:tcPr>
            <w:tcW w:w="8611"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Times New Roman" w:hAnsi="Times New Roman"/>
                <w:b/>
                <w:bCs/>
                <w:sz w:val="24"/>
              </w:rPr>
            </w:pPr>
            <w:r>
              <w:rPr>
                <w:rFonts w:hint="eastAsia" w:ascii="Times New Roman" w:hAnsi="Times New Roman"/>
                <w:b/>
                <w:bCs/>
                <w:sz w:val="24"/>
              </w:rPr>
              <w:t>问题：</w:t>
            </w:r>
            <w:r>
              <w:rPr>
                <w:rFonts w:hint="eastAsia" w:ascii="Times New Roman" w:hAnsi="Times New Roman"/>
                <w:bCs/>
                <w:sz w:val="24"/>
              </w:rPr>
              <w:t>如何实现健康时空大数据的的有效挖掘与分析？</w:t>
            </w:r>
          </w:p>
          <w:p>
            <w:pPr>
              <w:spacing w:line="360" w:lineRule="exact"/>
              <w:rPr>
                <w:rFonts w:ascii="Times New Roman" w:hAnsi="Times New Roman"/>
                <w:b/>
                <w:bCs/>
                <w:sz w:val="24"/>
              </w:rPr>
            </w:pPr>
            <w:r>
              <w:rPr>
                <w:rFonts w:hint="eastAsia" w:ascii="Times New Roman" w:hAnsi="Times New Roman"/>
                <w:b/>
                <w:bCs/>
                <w:sz w:val="24"/>
              </w:rPr>
              <w:t>解决方案：</w:t>
            </w:r>
            <w:r>
              <w:rPr>
                <w:rFonts w:hint="eastAsia" w:ascii="Times New Roman" w:hAnsi="Times New Roman"/>
                <w:bCs/>
                <w:sz w:val="24"/>
              </w:rPr>
              <w:t>回归分析：统计数据空间回归（空间滞后模型、空间误差模型）、（计算机练习）。</w:t>
            </w:r>
          </w:p>
          <w:p>
            <w:pPr>
              <w:spacing w:line="360" w:lineRule="exact"/>
              <w:rPr>
                <w:rFonts w:ascii="Times New Roman" w:hAnsi="Times New Roman"/>
                <w:b/>
                <w:bCs/>
                <w:sz w:val="24"/>
              </w:rPr>
            </w:pPr>
            <w:r>
              <w:rPr>
                <w:rFonts w:hint="eastAsia" w:ascii="Times New Roman" w:hAnsi="Times New Roman"/>
                <w:b/>
                <w:bCs/>
                <w:sz w:val="24"/>
              </w:rPr>
              <w:t>预期效果：</w:t>
            </w:r>
            <w:r>
              <w:rPr>
                <w:rFonts w:hint="eastAsia" w:ascii="Times New Roman" w:hAnsi="Times New Roman"/>
                <w:bCs/>
                <w:sz w:val="24"/>
              </w:rPr>
              <w:t>学员能运用上述两个模型实现疾病的影响因素分析，同时掌握应用上述模型撰写及发表</w:t>
            </w:r>
            <w:r>
              <w:rPr>
                <w:rFonts w:ascii="Times New Roman" w:hAnsi="Times New Roman"/>
                <w:bCs/>
                <w:sz w:val="24"/>
              </w:rPr>
              <w:t>SCI</w:t>
            </w:r>
            <w:r>
              <w:rPr>
                <w:rFonts w:hint="eastAsia" w:ascii="Times New Roman" w:hAnsi="Times New Roman"/>
                <w:bCs/>
                <w:sz w:val="24"/>
              </w:rPr>
              <w:t>论文的技能。</w:t>
            </w:r>
          </w:p>
        </w:tc>
      </w:tr>
    </w:tbl>
    <w:p>
      <w:pPr>
        <w:tabs>
          <w:tab w:val="center" w:pos="4535"/>
        </w:tabs>
        <w:spacing w:line="340" w:lineRule="exact"/>
        <w:jc w:val="center"/>
        <w:rPr>
          <w:rFonts w:ascii="Times New Roman" w:hAnsi="Times New Roman" w:eastAsia="新宋体" w:cs="Times New Roman"/>
          <w:b/>
          <w:bCs/>
        </w:rPr>
      </w:pPr>
    </w:p>
    <w:sectPr>
      <w:headerReference r:id="rId3" w:type="default"/>
      <w:footerReference r:id="rId4" w:type="default"/>
      <w:pgSz w:w="11708" w:h="16838"/>
      <w:pgMar w:top="851" w:right="794" w:bottom="567" w:left="794" w:header="284" w:footer="624"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Lucida Sans Unicode"/>
    <w:panose1 w:val="020F0502020204030204"/>
    <w:charset w:val="00"/>
    <w:family w:val="swiss"/>
    <w:pitch w:val="default"/>
    <w:sig w:usb0="00000000" w:usb1="00000000" w:usb2="00000001" w:usb3="00000000" w:csb0="0000019F" w:csb1="00000000"/>
  </w:font>
  <w:font w:name="Lucida Sans Unicode">
    <w:panose1 w:val="020B0602030504020204"/>
    <w:charset w:val="00"/>
    <w:family w:val="auto"/>
    <w:pitch w:val="default"/>
    <w:sig w:usb0="80001AFF" w:usb1="0000396B" w:usb2="00000000" w:usb3="00000000" w:csb0="0000003F" w:csb1="D7F70000"/>
  </w:font>
  <w:font w:name="Cambria">
    <w:altName w:val="Minion Pro Med"/>
    <w:panose1 w:val="02040503050406030204"/>
    <w:charset w:val="00"/>
    <w:family w:val="roman"/>
    <w:pitch w:val="default"/>
    <w:sig w:usb0="00000000" w:usb1="00000000" w:usb2="00000000" w:usb3="00000000" w:csb0="0000019F" w:csb1="00000000"/>
  </w:font>
  <w:font w:name="仿宋">
    <w:altName w:val="宋体"/>
    <w:panose1 w:val="02010609060101010101"/>
    <w:charset w:val="86"/>
    <w:family w:val="modern"/>
    <w:pitch w:val="default"/>
    <w:sig w:usb0="00000000" w:usb1="00000000"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MS Gothic">
    <w:panose1 w:val="020B0609070205080204"/>
    <w:charset w:val="80"/>
    <w:family w:val="modern"/>
    <w:pitch w:val="default"/>
    <w:sig w:usb0="A00002BF" w:usb1="68C7FCFB" w:usb2="00000010" w:usb3="00000000" w:csb0="4002009F" w:csb1="DFD70000"/>
  </w:font>
  <w:font w:name="新宋体">
    <w:panose1 w:val="02010609030101010101"/>
    <w:charset w:val="86"/>
    <w:family w:val="modern"/>
    <w:pitch w:val="default"/>
    <w:sig w:usb0="00000003" w:usb1="080E0000" w:usb2="00000000" w:usb3="00000000" w:csb0="00040001" w:csb1="00000000"/>
  </w:font>
  <w:font w:name="Minion Pro Med">
    <w:panose1 w:val="02040503050306020203"/>
    <w:charset w:val="00"/>
    <w:family w:val="auto"/>
    <w:pitch w:val="default"/>
    <w:sig w:usb0="60000287" w:usb1="00000001" w:usb2="00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framePr w:wrap="around" w:vAnchor="text" w:hAnchor="margin" w:xAlign="right" w:y="1"/>
      <w:rPr>
        <w:rStyle w:val="12"/>
        <w:rFonts w:cs="Times New Roman"/>
      </w:rPr>
    </w:pPr>
    <w:r>
      <w:rPr>
        <w:rStyle w:val="12"/>
      </w:rPr>
      <w:fldChar w:fldCharType="begin"/>
    </w:r>
    <w:r>
      <w:rPr>
        <w:rStyle w:val="12"/>
      </w:rPr>
      <w:instrText xml:space="preserve">PAGE  </w:instrText>
    </w:r>
    <w:r>
      <w:rPr>
        <w:rStyle w:val="12"/>
      </w:rPr>
      <w:fldChar w:fldCharType="separate"/>
    </w:r>
    <w:r>
      <w:rPr>
        <w:rStyle w:val="12"/>
      </w:rPr>
      <w:t>5</w:t>
    </w:r>
    <w:r>
      <w:rPr>
        <w:rStyle w:val="12"/>
      </w:rPr>
      <w:fldChar w:fldCharType="end"/>
    </w:r>
  </w:p>
  <w:p>
    <w:pPr>
      <w:pStyle w:val="7"/>
      <w:ind w:right="360" w:firstLine="211" w:firstLineChars="100"/>
      <w:rPr>
        <w:rFonts w:ascii="宋体" w:cs="Times New Roman"/>
        <w:b/>
        <w:bCs/>
        <w:sz w:val="21"/>
        <w:szCs w:val="21"/>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Bdr>
        <w:bottom w:val="none" w:color="auto" w:sz="0" w:space="0"/>
      </w:pBdr>
      <w:rPr>
        <w:rFonts w:cs="Times New Roman"/>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bordersDoNotSurroundHeader w:val="1"/>
  <w:bordersDoNotSurroundFooter w:val="1"/>
  <w:hideSpellingErrors/>
  <w:hideGrammaticalErrors/>
  <w:documentProtection w:enforcement="0"/>
  <w:defaultTabStop w:val="420"/>
  <w:doNotHyphenateCaps/>
  <w:drawingGridHorizontalSpacing w:val="100"/>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533F4"/>
    <w:rsid w:val="00012141"/>
    <w:rsid w:val="00013DA2"/>
    <w:rsid w:val="00014B87"/>
    <w:rsid w:val="00026A7A"/>
    <w:rsid w:val="00037591"/>
    <w:rsid w:val="00037BFE"/>
    <w:rsid w:val="000410BF"/>
    <w:rsid w:val="00043592"/>
    <w:rsid w:val="00061AAF"/>
    <w:rsid w:val="000647CC"/>
    <w:rsid w:val="00064D76"/>
    <w:rsid w:val="000732E3"/>
    <w:rsid w:val="00076378"/>
    <w:rsid w:val="00084219"/>
    <w:rsid w:val="00084820"/>
    <w:rsid w:val="00095EB7"/>
    <w:rsid w:val="000A02BD"/>
    <w:rsid w:val="000B0CFB"/>
    <w:rsid w:val="000B3556"/>
    <w:rsid w:val="000C6FB5"/>
    <w:rsid w:val="000D357E"/>
    <w:rsid w:val="000D574A"/>
    <w:rsid w:val="000D6BF2"/>
    <w:rsid w:val="000E578F"/>
    <w:rsid w:val="000E65C4"/>
    <w:rsid w:val="000E6CAD"/>
    <w:rsid w:val="00104051"/>
    <w:rsid w:val="001050DE"/>
    <w:rsid w:val="00105EC7"/>
    <w:rsid w:val="00125244"/>
    <w:rsid w:val="0013428C"/>
    <w:rsid w:val="00147FD0"/>
    <w:rsid w:val="00157638"/>
    <w:rsid w:val="00181C98"/>
    <w:rsid w:val="001826C8"/>
    <w:rsid w:val="001963A2"/>
    <w:rsid w:val="001C5CF6"/>
    <w:rsid w:val="001E0C89"/>
    <w:rsid w:val="001E6C0F"/>
    <w:rsid w:val="00201D79"/>
    <w:rsid w:val="002075BC"/>
    <w:rsid w:val="00217A4F"/>
    <w:rsid w:val="002210ED"/>
    <w:rsid w:val="00224DA0"/>
    <w:rsid w:val="002351CA"/>
    <w:rsid w:val="00250745"/>
    <w:rsid w:val="002523F7"/>
    <w:rsid w:val="00254BC9"/>
    <w:rsid w:val="002677CD"/>
    <w:rsid w:val="00270C96"/>
    <w:rsid w:val="00273D53"/>
    <w:rsid w:val="00275107"/>
    <w:rsid w:val="0028408F"/>
    <w:rsid w:val="0028778A"/>
    <w:rsid w:val="002911C5"/>
    <w:rsid w:val="0029193E"/>
    <w:rsid w:val="002A5EB0"/>
    <w:rsid w:val="002B4CA2"/>
    <w:rsid w:val="002C1FC4"/>
    <w:rsid w:val="002D1944"/>
    <w:rsid w:val="002E79C9"/>
    <w:rsid w:val="002F7326"/>
    <w:rsid w:val="003046F1"/>
    <w:rsid w:val="00315C7B"/>
    <w:rsid w:val="00315DC6"/>
    <w:rsid w:val="003217A4"/>
    <w:rsid w:val="003401FF"/>
    <w:rsid w:val="00340E89"/>
    <w:rsid w:val="003421A8"/>
    <w:rsid w:val="00351F3A"/>
    <w:rsid w:val="00364C9F"/>
    <w:rsid w:val="003765C5"/>
    <w:rsid w:val="00385E1B"/>
    <w:rsid w:val="00385F9A"/>
    <w:rsid w:val="00386164"/>
    <w:rsid w:val="003A1453"/>
    <w:rsid w:val="003A77CD"/>
    <w:rsid w:val="003B1D5B"/>
    <w:rsid w:val="003B26F5"/>
    <w:rsid w:val="003B2B12"/>
    <w:rsid w:val="003B4B05"/>
    <w:rsid w:val="003B51EA"/>
    <w:rsid w:val="003B7029"/>
    <w:rsid w:val="003C0166"/>
    <w:rsid w:val="003C64DD"/>
    <w:rsid w:val="003C69DD"/>
    <w:rsid w:val="003C7AC4"/>
    <w:rsid w:val="003D3304"/>
    <w:rsid w:val="003E1CAF"/>
    <w:rsid w:val="003E3822"/>
    <w:rsid w:val="003F6F83"/>
    <w:rsid w:val="00433211"/>
    <w:rsid w:val="004337FE"/>
    <w:rsid w:val="004531D7"/>
    <w:rsid w:val="0046312C"/>
    <w:rsid w:val="00471C56"/>
    <w:rsid w:val="00473E5C"/>
    <w:rsid w:val="00476A63"/>
    <w:rsid w:val="00480198"/>
    <w:rsid w:val="00486697"/>
    <w:rsid w:val="00486717"/>
    <w:rsid w:val="004911FD"/>
    <w:rsid w:val="00491C2A"/>
    <w:rsid w:val="00492B04"/>
    <w:rsid w:val="004B29EB"/>
    <w:rsid w:val="004B535A"/>
    <w:rsid w:val="004C1D70"/>
    <w:rsid w:val="004D038C"/>
    <w:rsid w:val="004D1EDF"/>
    <w:rsid w:val="004E5481"/>
    <w:rsid w:val="004E7092"/>
    <w:rsid w:val="00502317"/>
    <w:rsid w:val="00516C59"/>
    <w:rsid w:val="00523FFC"/>
    <w:rsid w:val="005502C3"/>
    <w:rsid w:val="00552251"/>
    <w:rsid w:val="005577A9"/>
    <w:rsid w:val="0056178A"/>
    <w:rsid w:val="005659E1"/>
    <w:rsid w:val="00571365"/>
    <w:rsid w:val="00583BF0"/>
    <w:rsid w:val="00584E21"/>
    <w:rsid w:val="00590A94"/>
    <w:rsid w:val="00593637"/>
    <w:rsid w:val="00593D05"/>
    <w:rsid w:val="00597E36"/>
    <w:rsid w:val="005A1390"/>
    <w:rsid w:val="005A7E2D"/>
    <w:rsid w:val="005B4C17"/>
    <w:rsid w:val="005B6A3D"/>
    <w:rsid w:val="005E39B7"/>
    <w:rsid w:val="005F2CB2"/>
    <w:rsid w:val="005F4611"/>
    <w:rsid w:val="005F69B0"/>
    <w:rsid w:val="00604458"/>
    <w:rsid w:val="006162FD"/>
    <w:rsid w:val="00620A2C"/>
    <w:rsid w:val="006407FA"/>
    <w:rsid w:val="006416F9"/>
    <w:rsid w:val="00641A77"/>
    <w:rsid w:val="00643B13"/>
    <w:rsid w:val="006520C7"/>
    <w:rsid w:val="006552BD"/>
    <w:rsid w:val="00671DE9"/>
    <w:rsid w:val="0067616F"/>
    <w:rsid w:val="00676C60"/>
    <w:rsid w:val="00680549"/>
    <w:rsid w:val="00695B18"/>
    <w:rsid w:val="006A48A6"/>
    <w:rsid w:val="006A56A4"/>
    <w:rsid w:val="006B388B"/>
    <w:rsid w:val="006C31D3"/>
    <w:rsid w:val="006C4F55"/>
    <w:rsid w:val="006C72D5"/>
    <w:rsid w:val="006D33D3"/>
    <w:rsid w:val="006D3EAD"/>
    <w:rsid w:val="006D56EF"/>
    <w:rsid w:val="006E5CE0"/>
    <w:rsid w:val="006F144F"/>
    <w:rsid w:val="006F325B"/>
    <w:rsid w:val="006F7FBB"/>
    <w:rsid w:val="00702887"/>
    <w:rsid w:val="00707B22"/>
    <w:rsid w:val="00716D0F"/>
    <w:rsid w:val="00723AA5"/>
    <w:rsid w:val="00733EB3"/>
    <w:rsid w:val="00741E43"/>
    <w:rsid w:val="00747A39"/>
    <w:rsid w:val="007505F7"/>
    <w:rsid w:val="0075294E"/>
    <w:rsid w:val="00752E94"/>
    <w:rsid w:val="0077793C"/>
    <w:rsid w:val="00787104"/>
    <w:rsid w:val="00787282"/>
    <w:rsid w:val="00793011"/>
    <w:rsid w:val="00795CDF"/>
    <w:rsid w:val="00796FBA"/>
    <w:rsid w:val="007A10CE"/>
    <w:rsid w:val="007A5F1D"/>
    <w:rsid w:val="007B197C"/>
    <w:rsid w:val="007B5747"/>
    <w:rsid w:val="007B5D84"/>
    <w:rsid w:val="007C5AFC"/>
    <w:rsid w:val="007E50E1"/>
    <w:rsid w:val="007E655C"/>
    <w:rsid w:val="007F110A"/>
    <w:rsid w:val="0080500B"/>
    <w:rsid w:val="008059A0"/>
    <w:rsid w:val="00821888"/>
    <w:rsid w:val="008344AE"/>
    <w:rsid w:val="008408C3"/>
    <w:rsid w:val="008445DD"/>
    <w:rsid w:val="008533F4"/>
    <w:rsid w:val="00855975"/>
    <w:rsid w:val="00856D07"/>
    <w:rsid w:val="00856F5F"/>
    <w:rsid w:val="00876C0E"/>
    <w:rsid w:val="00880E19"/>
    <w:rsid w:val="008819CD"/>
    <w:rsid w:val="008850C4"/>
    <w:rsid w:val="00891454"/>
    <w:rsid w:val="008A3B62"/>
    <w:rsid w:val="008D216C"/>
    <w:rsid w:val="008D2C49"/>
    <w:rsid w:val="008D7F6F"/>
    <w:rsid w:val="008E28E1"/>
    <w:rsid w:val="008E4FF2"/>
    <w:rsid w:val="008F1E9E"/>
    <w:rsid w:val="008F1EE9"/>
    <w:rsid w:val="008F4F26"/>
    <w:rsid w:val="008F5779"/>
    <w:rsid w:val="00905987"/>
    <w:rsid w:val="00905B0F"/>
    <w:rsid w:val="00924B7E"/>
    <w:rsid w:val="00934262"/>
    <w:rsid w:val="0095072E"/>
    <w:rsid w:val="00951987"/>
    <w:rsid w:val="00953489"/>
    <w:rsid w:val="00954673"/>
    <w:rsid w:val="009560FC"/>
    <w:rsid w:val="00963612"/>
    <w:rsid w:val="009658B1"/>
    <w:rsid w:val="009754BB"/>
    <w:rsid w:val="00976E0A"/>
    <w:rsid w:val="00977063"/>
    <w:rsid w:val="00977E70"/>
    <w:rsid w:val="00980541"/>
    <w:rsid w:val="0098518F"/>
    <w:rsid w:val="009A29A2"/>
    <w:rsid w:val="009A74DB"/>
    <w:rsid w:val="009B1FFB"/>
    <w:rsid w:val="009C5EC0"/>
    <w:rsid w:val="009D19C4"/>
    <w:rsid w:val="009D21F0"/>
    <w:rsid w:val="009D2B4D"/>
    <w:rsid w:val="009E65F2"/>
    <w:rsid w:val="009F7F35"/>
    <w:rsid w:val="00A0657B"/>
    <w:rsid w:val="00A07D53"/>
    <w:rsid w:val="00A1449E"/>
    <w:rsid w:val="00A15E00"/>
    <w:rsid w:val="00A2102F"/>
    <w:rsid w:val="00A2293B"/>
    <w:rsid w:val="00A259A9"/>
    <w:rsid w:val="00A263DD"/>
    <w:rsid w:val="00A2728D"/>
    <w:rsid w:val="00A3256C"/>
    <w:rsid w:val="00A446D2"/>
    <w:rsid w:val="00A50039"/>
    <w:rsid w:val="00A5548D"/>
    <w:rsid w:val="00A655C1"/>
    <w:rsid w:val="00A70783"/>
    <w:rsid w:val="00A95575"/>
    <w:rsid w:val="00A96BE3"/>
    <w:rsid w:val="00AA1983"/>
    <w:rsid w:val="00AB0D60"/>
    <w:rsid w:val="00AB1173"/>
    <w:rsid w:val="00AC27EA"/>
    <w:rsid w:val="00AC5548"/>
    <w:rsid w:val="00AC6C9B"/>
    <w:rsid w:val="00AD697D"/>
    <w:rsid w:val="00AE0EF2"/>
    <w:rsid w:val="00AE6A5F"/>
    <w:rsid w:val="00AE7F2F"/>
    <w:rsid w:val="00AF1668"/>
    <w:rsid w:val="00B1114C"/>
    <w:rsid w:val="00B13131"/>
    <w:rsid w:val="00B15E1E"/>
    <w:rsid w:val="00B226AE"/>
    <w:rsid w:val="00B306AE"/>
    <w:rsid w:val="00B310C1"/>
    <w:rsid w:val="00B33313"/>
    <w:rsid w:val="00B47CAC"/>
    <w:rsid w:val="00B55B2B"/>
    <w:rsid w:val="00B564AC"/>
    <w:rsid w:val="00B704CA"/>
    <w:rsid w:val="00B73305"/>
    <w:rsid w:val="00B75FAB"/>
    <w:rsid w:val="00B81E2C"/>
    <w:rsid w:val="00B97617"/>
    <w:rsid w:val="00BA0C66"/>
    <w:rsid w:val="00BA4F2F"/>
    <w:rsid w:val="00BA601E"/>
    <w:rsid w:val="00BA62FF"/>
    <w:rsid w:val="00BA6C70"/>
    <w:rsid w:val="00BB314B"/>
    <w:rsid w:val="00BB590B"/>
    <w:rsid w:val="00BB5A54"/>
    <w:rsid w:val="00BB79BC"/>
    <w:rsid w:val="00BC2FBD"/>
    <w:rsid w:val="00BC646C"/>
    <w:rsid w:val="00BD3DF4"/>
    <w:rsid w:val="00BD5B11"/>
    <w:rsid w:val="00BE2552"/>
    <w:rsid w:val="00BE536F"/>
    <w:rsid w:val="00BE7985"/>
    <w:rsid w:val="00BF3726"/>
    <w:rsid w:val="00C03F4B"/>
    <w:rsid w:val="00C1112A"/>
    <w:rsid w:val="00C13371"/>
    <w:rsid w:val="00C3570C"/>
    <w:rsid w:val="00C43FF6"/>
    <w:rsid w:val="00C5135B"/>
    <w:rsid w:val="00C557C7"/>
    <w:rsid w:val="00C55BD2"/>
    <w:rsid w:val="00C63317"/>
    <w:rsid w:val="00C67FDF"/>
    <w:rsid w:val="00C82A34"/>
    <w:rsid w:val="00C84A11"/>
    <w:rsid w:val="00C86E9D"/>
    <w:rsid w:val="00CA59BC"/>
    <w:rsid w:val="00CB3B33"/>
    <w:rsid w:val="00CC29EA"/>
    <w:rsid w:val="00CD3E85"/>
    <w:rsid w:val="00CD4D24"/>
    <w:rsid w:val="00CD57C2"/>
    <w:rsid w:val="00CF0D40"/>
    <w:rsid w:val="00CF7473"/>
    <w:rsid w:val="00CF74F3"/>
    <w:rsid w:val="00D01441"/>
    <w:rsid w:val="00D04654"/>
    <w:rsid w:val="00D1511F"/>
    <w:rsid w:val="00D17923"/>
    <w:rsid w:val="00D214CA"/>
    <w:rsid w:val="00D21BC3"/>
    <w:rsid w:val="00D259B0"/>
    <w:rsid w:val="00D33A8A"/>
    <w:rsid w:val="00D507B2"/>
    <w:rsid w:val="00D55D32"/>
    <w:rsid w:val="00D67B4D"/>
    <w:rsid w:val="00D72ACF"/>
    <w:rsid w:val="00D90FDD"/>
    <w:rsid w:val="00D95E01"/>
    <w:rsid w:val="00D96A22"/>
    <w:rsid w:val="00DA06EB"/>
    <w:rsid w:val="00DB5AB3"/>
    <w:rsid w:val="00DE2F0B"/>
    <w:rsid w:val="00DE4A17"/>
    <w:rsid w:val="00DE68D2"/>
    <w:rsid w:val="00DF14CA"/>
    <w:rsid w:val="00DF219E"/>
    <w:rsid w:val="00E0362C"/>
    <w:rsid w:val="00E133D6"/>
    <w:rsid w:val="00E15461"/>
    <w:rsid w:val="00E31ACA"/>
    <w:rsid w:val="00E376A9"/>
    <w:rsid w:val="00E421B9"/>
    <w:rsid w:val="00E47AD6"/>
    <w:rsid w:val="00E57D36"/>
    <w:rsid w:val="00E61AF2"/>
    <w:rsid w:val="00E70C50"/>
    <w:rsid w:val="00E71448"/>
    <w:rsid w:val="00E7707A"/>
    <w:rsid w:val="00E773C8"/>
    <w:rsid w:val="00E77CF8"/>
    <w:rsid w:val="00E83722"/>
    <w:rsid w:val="00E84C77"/>
    <w:rsid w:val="00E943E9"/>
    <w:rsid w:val="00E95C2A"/>
    <w:rsid w:val="00EA10DE"/>
    <w:rsid w:val="00EA459A"/>
    <w:rsid w:val="00EB0828"/>
    <w:rsid w:val="00EE3F05"/>
    <w:rsid w:val="00EE47B2"/>
    <w:rsid w:val="00EE6241"/>
    <w:rsid w:val="00EE65C9"/>
    <w:rsid w:val="00EF08A9"/>
    <w:rsid w:val="00EF383A"/>
    <w:rsid w:val="00F12ACA"/>
    <w:rsid w:val="00F13CD5"/>
    <w:rsid w:val="00F145C6"/>
    <w:rsid w:val="00F34A67"/>
    <w:rsid w:val="00F43FD0"/>
    <w:rsid w:val="00F460CA"/>
    <w:rsid w:val="00F47DB7"/>
    <w:rsid w:val="00F53DE0"/>
    <w:rsid w:val="00F54944"/>
    <w:rsid w:val="00F57770"/>
    <w:rsid w:val="00F63914"/>
    <w:rsid w:val="00F64C67"/>
    <w:rsid w:val="00F76F75"/>
    <w:rsid w:val="00F833FF"/>
    <w:rsid w:val="00F84A31"/>
    <w:rsid w:val="00F86A4A"/>
    <w:rsid w:val="00F86C6F"/>
    <w:rsid w:val="00F94B56"/>
    <w:rsid w:val="00FA4043"/>
    <w:rsid w:val="00FB1447"/>
    <w:rsid w:val="00FC0060"/>
    <w:rsid w:val="00FC6FC9"/>
    <w:rsid w:val="00FD3723"/>
    <w:rsid w:val="00FE32FC"/>
    <w:rsid w:val="00FE6458"/>
    <w:rsid w:val="00FF6254"/>
    <w:rsid w:val="02875833"/>
    <w:rsid w:val="05E50738"/>
    <w:rsid w:val="060E737E"/>
    <w:rsid w:val="062B6CAE"/>
    <w:rsid w:val="063A5C43"/>
    <w:rsid w:val="070D72A1"/>
    <w:rsid w:val="076A3DB7"/>
    <w:rsid w:val="089E6732"/>
    <w:rsid w:val="0C3C7EA2"/>
    <w:rsid w:val="0C433FAA"/>
    <w:rsid w:val="0C965FB3"/>
    <w:rsid w:val="0CE74AB8"/>
    <w:rsid w:val="0E2C2BD1"/>
    <w:rsid w:val="112C7CBB"/>
    <w:rsid w:val="12737FD2"/>
    <w:rsid w:val="15992D7D"/>
    <w:rsid w:val="1623745E"/>
    <w:rsid w:val="16FB4F43"/>
    <w:rsid w:val="1701104A"/>
    <w:rsid w:val="176B2C78"/>
    <w:rsid w:val="18B30A11"/>
    <w:rsid w:val="1C022402"/>
    <w:rsid w:val="1C2403B8"/>
    <w:rsid w:val="1C2C1048"/>
    <w:rsid w:val="1D024523"/>
    <w:rsid w:val="1F125588"/>
    <w:rsid w:val="1F173C0E"/>
    <w:rsid w:val="2001740F"/>
    <w:rsid w:val="20E144FE"/>
    <w:rsid w:val="210E62C7"/>
    <w:rsid w:val="216721D9"/>
    <w:rsid w:val="223615AD"/>
    <w:rsid w:val="2240793E"/>
    <w:rsid w:val="226520FC"/>
    <w:rsid w:val="2494490F"/>
    <w:rsid w:val="24963695"/>
    <w:rsid w:val="253F062B"/>
    <w:rsid w:val="25D6079F"/>
    <w:rsid w:val="274B20FB"/>
    <w:rsid w:val="29075B82"/>
    <w:rsid w:val="29DF73C0"/>
    <w:rsid w:val="2AA73585"/>
    <w:rsid w:val="2BF235A7"/>
    <w:rsid w:val="2C0028BD"/>
    <w:rsid w:val="2C331E12"/>
    <w:rsid w:val="2C7D0F8D"/>
    <w:rsid w:val="2C7F0C0D"/>
    <w:rsid w:val="2CA50E4D"/>
    <w:rsid w:val="2DD56FC0"/>
    <w:rsid w:val="30925BBF"/>
    <w:rsid w:val="326D0948"/>
    <w:rsid w:val="33535743"/>
    <w:rsid w:val="3553070C"/>
    <w:rsid w:val="38F85F83"/>
    <w:rsid w:val="397B655D"/>
    <w:rsid w:val="3A1D02E4"/>
    <w:rsid w:val="3AF75A49"/>
    <w:rsid w:val="3D1228C0"/>
    <w:rsid w:val="3DAC4C3A"/>
    <w:rsid w:val="3DCD2FF3"/>
    <w:rsid w:val="3EF14050"/>
    <w:rsid w:val="3EF8725E"/>
    <w:rsid w:val="40243148"/>
    <w:rsid w:val="42721A93"/>
    <w:rsid w:val="42B86984"/>
    <w:rsid w:val="454F78C2"/>
    <w:rsid w:val="47043A90"/>
    <w:rsid w:val="476837B5"/>
    <w:rsid w:val="47D84D6D"/>
    <w:rsid w:val="4843441C"/>
    <w:rsid w:val="48EE48B5"/>
    <w:rsid w:val="4A0D148A"/>
    <w:rsid w:val="4B170A42"/>
    <w:rsid w:val="4B1E03CD"/>
    <w:rsid w:val="4C89181E"/>
    <w:rsid w:val="4DF542F3"/>
    <w:rsid w:val="4E177D2B"/>
    <w:rsid w:val="4E555611"/>
    <w:rsid w:val="526B5AC6"/>
    <w:rsid w:val="53902026"/>
    <w:rsid w:val="53B35A5D"/>
    <w:rsid w:val="54044563"/>
    <w:rsid w:val="566F245E"/>
    <w:rsid w:val="574A5644"/>
    <w:rsid w:val="57F731DF"/>
    <w:rsid w:val="5A4A272E"/>
    <w:rsid w:val="5B507A5E"/>
    <w:rsid w:val="5F964E5F"/>
    <w:rsid w:val="60654232"/>
    <w:rsid w:val="60D422E8"/>
    <w:rsid w:val="61A03FBA"/>
    <w:rsid w:val="61EA78B2"/>
    <w:rsid w:val="62E47AC9"/>
    <w:rsid w:val="63FD6018"/>
    <w:rsid w:val="65312B91"/>
    <w:rsid w:val="673B646A"/>
    <w:rsid w:val="67AD0D27"/>
    <w:rsid w:val="67D5446A"/>
    <w:rsid w:val="69EF7FDC"/>
    <w:rsid w:val="6A8B7E5B"/>
    <w:rsid w:val="6B3F5380"/>
    <w:rsid w:val="6CBF6AF6"/>
    <w:rsid w:val="6EB87F35"/>
    <w:rsid w:val="70EE7B55"/>
    <w:rsid w:val="72031C1B"/>
    <w:rsid w:val="72BE234E"/>
    <w:rsid w:val="74D43C38"/>
    <w:rsid w:val="75D00657"/>
    <w:rsid w:val="75FC27A0"/>
    <w:rsid w:val="791C7DBF"/>
    <w:rsid w:val="7A633959"/>
    <w:rsid w:val="7A68455E"/>
    <w:rsid w:val="7B0556E1"/>
    <w:rsid w:val="7B234C91"/>
    <w:rsid w:val="7C463AEF"/>
    <w:rsid w:val="7CB41BA4"/>
    <w:rsid w:val="7DA02AA7"/>
    <w:rsid w:val="7EB119EA"/>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iPriority="99" w:name="Normal Indent" w:locked="1"/>
    <w:lsdException w:qFormat="1" w:unhideWhenUsed="0" w:uiPriority="99" w:name="footnote text"/>
    <w:lsdException w:uiPriority="99" w:name="annotation text" w:locked="1"/>
    <w:lsdException w:qFormat="1" w:unhideWhenUsed="0" w:uiPriority="99" w:semiHidden="0" w:name="header"/>
    <w:lsdException w:qFormat="1" w:unhideWhenUsed="0" w:uiPriority="99" w:semiHidden="0" w:name="footer"/>
    <w:lsdException w:uiPriority="99" w:name="index heading" w:locked="1"/>
    <w:lsdException w:qFormat="1" w:uiPriority="0" w:name="caption"/>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qFormat="1" w:unhideWhenUsed="0" w:uiPriority="99" w:semiHidden="0" w:name="page number"/>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0" w:semiHidden="0" w:name="Title"/>
    <w:lsdException w:uiPriority="99" w:name="Closing" w:locked="1"/>
    <w:lsdException w:uiPriority="99" w:name="Signature" w:locked="1"/>
    <w:lsdException w:uiPriority="1" w:name="Default Paragraph Font"/>
    <w:lsdException w:uiPriority="99" w:name="Body Text" w:locked="1"/>
    <w:lsdException w:uiPriority="99"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0" w:semiHidden="0" w:name="Subtitle"/>
    <w:lsdException w:uiPriority="99" w:name="Salutation" w:locked="1"/>
    <w:lsdException w:uiPriority="99" w:name="Date" w:locked="1"/>
    <w:lsdException w:uiPriority="99"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qFormat="1" w:uiPriority="99" w:semiHidden="0" w:name="Hyperlink" w:locked="1"/>
    <w:lsdException w:uiPriority="99" w:name="FollowedHyperlink" w:locked="1"/>
    <w:lsdException w:qFormat="1" w:unhideWhenUsed="0" w:uiPriority="0" w:semiHidden="0" w:name="Strong"/>
    <w:lsdException w:qFormat="1" w:unhideWhenUsed="0" w:uiPriority="0" w:semiHidden="0" w:name="Emphasis"/>
    <w:lsdException w:uiPriority="99" w:name="Document Map" w:locked="1"/>
    <w:lsdException w:uiPriority="99" w:name="Plain Text" w:locked="1"/>
    <w:lsdException w:uiPriority="99" w:name="E-mail Signature" w:locked="1"/>
    <w:lsdException w:qFormat="1"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unhideWhenUsed="0" w:uiPriority="99" w:name="Balloon Text"/>
    <w:lsdException w:qFormat="1" w:unhideWhenUsed="0" w:uiPriority="99"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Calibri" w:hAnsi="Calibri" w:eastAsia="宋体" w:cs="Calibri"/>
      <w:lang w:val="en-US" w:eastAsia="zh-CN" w:bidi="ar-SA"/>
    </w:rPr>
  </w:style>
  <w:style w:type="paragraph" w:styleId="2">
    <w:name w:val="heading 1"/>
    <w:basedOn w:val="1"/>
    <w:next w:val="1"/>
    <w:link w:val="16"/>
    <w:qFormat/>
    <w:uiPriority w:val="99"/>
    <w:pPr>
      <w:keepNext/>
      <w:keepLines/>
      <w:spacing w:before="340" w:after="330" w:line="578" w:lineRule="auto"/>
      <w:outlineLvl w:val="0"/>
    </w:pPr>
    <w:rPr>
      <w:b/>
      <w:bCs/>
      <w:kern w:val="44"/>
      <w:sz w:val="44"/>
      <w:szCs w:val="44"/>
    </w:rPr>
  </w:style>
  <w:style w:type="paragraph" w:styleId="3">
    <w:name w:val="heading 2"/>
    <w:basedOn w:val="1"/>
    <w:next w:val="1"/>
    <w:link w:val="17"/>
    <w:qFormat/>
    <w:uiPriority w:val="99"/>
    <w:pPr>
      <w:keepNext/>
      <w:keepLines/>
      <w:spacing w:before="260" w:after="260" w:line="416" w:lineRule="auto"/>
      <w:outlineLvl w:val="1"/>
    </w:pPr>
    <w:rPr>
      <w:rFonts w:ascii="Cambria" w:hAnsi="Cambria" w:cs="Cambria"/>
      <w:b/>
      <w:bCs/>
      <w:sz w:val="32"/>
      <w:szCs w:val="32"/>
    </w:rPr>
  </w:style>
  <w:style w:type="paragraph" w:styleId="4">
    <w:name w:val="heading 3"/>
    <w:basedOn w:val="1"/>
    <w:next w:val="1"/>
    <w:link w:val="18"/>
    <w:qFormat/>
    <w:uiPriority w:val="99"/>
    <w:pPr>
      <w:keepNext/>
      <w:keepLines/>
      <w:spacing w:before="260" w:after="260" w:line="416" w:lineRule="auto"/>
      <w:outlineLvl w:val="2"/>
    </w:pPr>
    <w:rPr>
      <w:b/>
      <w:bCs/>
      <w:sz w:val="32"/>
      <w:szCs w:val="32"/>
    </w:rPr>
  </w:style>
  <w:style w:type="paragraph" w:styleId="5">
    <w:name w:val="heading 4"/>
    <w:basedOn w:val="1"/>
    <w:next w:val="1"/>
    <w:link w:val="19"/>
    <w:qFormat/>
    <w:uiPriority w:val="99"/>
    <w:pPr>
      <w:keepNext/>
      <w:keepLines/>
      <w:spacing w:before="280" w:after="290" w:line="376" w:lineRule="auto"/>
      <w:outlineLvl w:val="3"/>
    </w:pPr>
    <w:rPr>
      <w:rFonts w:ascii="Cambria" w:hAnsi="Cambria" w:cs="Cambria"/>
      <w:b/>
      <w:bCs/>
      <w:sz w:val="28"/>
      <w:szCs w:val="28"/>
    </w:rPr>
  </w:style>
  <w:style w:type="character" w:default="1" w:styleId="11">
    <w:name w:val="Default Paragraph Font"/>
    <w:semiHidden/>
    <w:unhideWhenUsed/>
    <w:uiPriority w:val="1"/>
  </w:style>
  <w:style w:type="table" w:default="1" w:styleId="14">
    <w:name w:val="Normal Table"/>
    <w:semiHidden/>
    <w:unhideWhenUsed/>
    <w:uiPriority w:val="99"/>
    <w:tblPr>
      <w:tblLayout w:type="fixed"/>
      <w:tblCellMar>
        <w:top w:w="0" w:type="dxa"/>
        <w:left w:w="108" w:type="dxa"/>
        <w:bottom w:w="0" w:type="dxa"/>
        <w:right w:w="108" w:type="dxa"/>
      </w:tblCellMar>
    </w:tblPr>
  </w:style>
  <w:style w:type="paragraph" w:styleId="6">
    <w:name w:val="Balloon Text"/>
    <w:basedOn w:val="1"/>
    <w:link w:val="31"/>
    <w:semiHidden/>
    <w:uiPriority w:val="99"/>
    <w:rPr>
      <w:sz w:val="18"/>
      <w:szCs w:val="18"/>
    </w:rPr>
  </w:style>
  <w:style w:type="paragraph" w:styleId="7">
    <w:name w:val="footer"/>
    <w:basedOn w:val="1"/>
    <w:link w:val="22"/>
    <w:qFormat/>
    <w:uiPriority w:val="99"/>
    <w:pPr>
      <w:tabs>
        <w:tab w:val="center" w:pos="4153"/>
        <w:tab w:val="right" w:pos="8306"/>
      </w:tabs>
      <w:snapToGrid w:val="0"/>
    </w:pPr>
    <w:rPr>
      <w:sz w:val="18"/>
      <w:szCs w:val="18"/>
    </w:rPr>
  </w:style>
  <w:style w:type="paragraph" w:styleId="8">
    <w:name w:val="header"/>
    <w:basedOn w:val="1"/>
    <w:link w:val="20"/>
    <w:qFormat/>
    <w:uiPriority w:val="99"/>
    <w:pPr>
      <w:pBdr>
        <w:bottom w:val="single" w:color="auto" w:sz="6" w:space="1"/>
      </w:pBdr>
      <w:tabs>
        <w:tab w:val="center" w:pos="4153"/>
        <w:tab w:val="right" w:pos="8306"/>
      </w:tabs>
      <w:snapToGrid w:val="0"/>
      <w:jc w:val="center"/>
    </w:pPr>
    <w:rPr>
      <w:sz w:val="18"/>
      <w:szCs w:val="18"/>
    </w:rPr>
  </w:style>
  <w:style w:type="paragraph" w:styleId="9">
    <w:name w:val="footnote text"/>
    <w:basedOn w:val="1"/>
    <w:link w:val="23"/>
    <w:semiHidden/>
    <w:qFormat/>
    <w:uiPriority w:val="99"/>
  </w:style>
  <w:style w:type="paragraph" w:styleId="10">
    <w:name w:val="Normal (Web)"/>
    <w:basedOn w:val="1"/>
    <w:qFormat/>
    <w:uiPriority w:val="99"/>
    <w:pPr>
      <w:spacing w:before="100" w:beforeAutospacing="1" w:after="100" w:afterAutospacing="1"/>
    </w:pPr>
    <w:rPr>
      <w:rFonts w:ascii="宋体" w:hAnsi="宋体" w:cs="宋体"/>
      <w:sz w:val="24"/>
      <w:szCs w:val="24"/>
    </w:rPr>
  </w:style>
  <w:style w:type="character" w:styleId="12">
    <w:name w:val="page number"/>
    <w:basedOn w:val="11"/>
    <w:qFormat/>
    <w:uiPriority w:val="99"/>
  </w:style>
  <w:style w:type="character" w:styleId="13">
    <w:name w:val="Hyperlink"/>
    <w:basedOn w:val="11"/>
    <w:unhideWhenUsed/>
    <w:qFormat/>
    <w:locked/>
    <w:uiPriority w:val="99"/>
    <w:rPr>
      <w:color w:val="0000FF"/>
      <w:u w:val="single"/>
    </w:rPr>
  </w:style>
  <w:style w:type="table" w:styleId="15">
    <w:name w:val="Table Grid"/>
    <w:basedOn w:val="14"/>
    <w:qFormat/>
    <w:uiPriority w:val="9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Pr>
  </w:style>
  <w:style w:type="character" w:customStyle="1" w:styleId="16">
    <w:name w:val="标题 1 字符"/>
    <w:basedOn w:val="11"/>
    <w:link w:val="2"/>
    <w:locked/>
    <w:uiPriority w:val="99"/>
    <w:rPr>
      <w:rFonts w:ascii="Calibri" w:hAnsi="Calibri" w:cs="Calibri"/>
      <w:b/>
      <w:bCs/>
      <w:kern w:val="44"/>
      <w:sz w:val="44"/>
      <w:szCs w:val="44"/>
    </w:rPr>
  </w:style>
  <w:style w:type="character" w:customStyle="1" w:styleId="17">
    <w:name w:val="标题 2 字符"/>
    <w:basedOn w:val="11"/>
    <w:link w:val="3"/>
    <w:locked/>
    <w:uiPriority w:val="99"/>
    <w:rPr>
      <w:rFonts w:ascii="Cambria" w:hAnsi="Cambria" w:eastAsia="宋体" w:cs="Cambria"/>
      <w:b/>
      <w:bCs/>
      <w:kern w:val="0"/>
      <w:sz w:val="32"/>
      <w:szCs w:val="32"/>
    </w:rPr>
  </w:style>
  <w:style w:type="character" w:customStyle="1" w:styleId="18">
    <w:name w:val="标题 3 字符"/>
    <w:basedOn w:val="11"/>
    <w:link w:val="4"/>
    <w:locked/>
    <w:uiPriority w:val="99"/>
    <w:rPr>
      <w:rFonts w:ascii="Calibri" w:hAnsi="Calibri" w:cs="Calibri"/>
      <w:b/>
      <w:bCs/>
      <w:kern w:val="0"/>
      <w:sz w:val="32"/>
      <w:szCs w:val="32"/>
    </w:rPr>
  </w:style>
  <w:style w:type="character" w:customStyle="1" w:styleId="19">
    <w:name w:val="标题 4 字符"/>
    <w:basedOn w:val="11"/>
    <w:link w:val="5"/>
    <w:qFormat/>
    <w:locked/>
    <w:uiPriority w:val="99"/>
    <w:rPr>
      <w:rFonts w:ascii="Cambria" w:hAnsi="Cambria" w:eastAsia="宋体" w:cs="Cambria"/>
      <w:b/>
      <w:bCs/>
      <w:kern w:val="0"/>
      <w:sz w:val="28"/>
      <w:szCs w:val="28"/>
    </w:rPr>
  </w:style>
  <w:style w:type="character" w:customStyle="1" w:styleId="20">
    <w:name w:val="页眉 字符"/>
    <w:basedOn w:val="11"/>
    <w:link w:val="8"/>
    <w:qFormat/>
    <w:locked/>
    <w:uiPriority w:val="99"/>
    <w:rPr>
      <w:rFonts w:ascii="Calibri" w:hAnsi="Calibri" w:cs="Calibri"/>
      <w:kern w:val="0"/>
      <w:sz w:val="18"/>
      <w:szCs w:val="18"/>
    </w:rPr>
  </w:style>
  <w:style w:type="character" w:customStyle="1" w:styleId="21">
    <w:name w:val="不明显强调1"/>
    <w:basedOn w:val="11"/>
    <w:qFormat/>
    <w:uiPriority w:val="99"/>
    <w:rPr>
      <w:rFonts w:eastAsia="宋体"/>
      <w:i/>
      <w:iCs/>
      <w:color w:val="auto"/>
      <w:sz w:val="22"/>
      <w:szCs w:val="22"/>
      <w:lang w:eastAsia="zh-CN"/>
    </w:rPr>
  </w:style>
  <w:style w:type="character" w:customStyle="1" w:styleId="22">
    <w:name w:val="页脚 字符"/>
    <w:basedOn w:val="11"/>
    <w:link w:val="7"/>
    <w:qFormat/>
    <w:locked/>
    <w:uiPriority w:val="99"/>
    <w:rPr>
      <w:rFonts w:ascii="Calibri" w:hAnsi="Calibri" w:cs="Calibri"/>
      <w:kern w:val="0"/>
      <w:sz w:val="18"/>
      <w:szCs w:val="18"/>
    </w:rPr>
  </w:style>
  <w:style w:type="character" w:customStyle="1" w:styleId="23">
    <w:name w:val="脚注文本 字符"/>
    <w:basedOn w:val="11"/>
    <w:link w:val="9"/>
    <w:locked/>
    <w:uiPriority w:val="99"/>
    <w:rPr>
      <w:kern w:val="0"/>
      <w:sz w:val="20"/>
      <w:szCs w:val="20"/>
    </w:rPr>
  </w:style>
  <w:style w:type="character" w:customStyle="1" w:styleId="24">
    <w:name w:val="Footer Char1"/>
    <w:basedOn w:val="11"/>
    <w:semiHidden/>
    <w:locked/>
    <w:uiPriority w:val="99"/>
    <w:rPr>
      <w:rFonts w:ascii="Calibri" w:hAnsi="Calibri" w:cs="Calibri"/>
      <w:kern w:val="0"/>
      <w:sz w:val="18"/>
      <w:szCs w:val="18"/>
    </w:rPr>
  </w:style>
  <w:style w:type="character" w:customStyle="1" w:styleId="25">
    <w:name w:val="Footnote Text Char1"/>
    <w:basedOn w:val="11"/>
    <w:semiHidden/>
    <w:qFormat/>
    <w:locked/>
    <w:uiPriority w:val="99"/>
    <w:rPr>
      <w:rFonts w:ascii="Calibri" w:hAnsi="Calibri" w:cs="Calibri"/>
      <w:kern w:val="0"/>
      <w:sz w:val="18"/>
      <w:szCs w:val="18"/>
    </w:rPr>
  </w:style>
  <w:style w:type="paragraph" w:customStyle="1" w:styleId="26">
    <w:name w:val="Default"/>
    <w:qFormat/>
    <w:uiPriority w:val="99"/>
    <w:pPr>
      <w:widowControl w:val="0"/>
      <w:autoSpaceDE w:val="0"/>
      <w:autoSpaceDN w:val="0"/>
      <w:adjustRightInd w:val="0"/>
    </w:pPr>
    <w:rPr>
      <w:rFonts w:ascii="仿宋" w:hAnsi="Calibri" w:eastAsia="仿宋" w:cs="仿宋"/>
      <w:color w:val="000000"/>
      <w:sz w:val="24"/>
      <w:szCs w:val="24"/>
      <w:lang w:val="en-US" w:eastAsia="zh-CN" w:bidi="ar-SA"/>
    </w:rPr>
  </w:style>
  <w:style w:type="character" w:customStyle="1" w:styleId="27">
    <w:name w:val="Header Char1"/>
    <w:basedOn w:val="11"/>
    <w:semiHidden/>
    <w:qFormat/>
    <w:locked/>
    <w:uiPriority w:val="99"/>
    <w:rPr>
      <w:rFonts w:ascii="Calibri" w:hAnsi="Calibri" w:cs="Calibri"/>
      <w:kern w:val="0"/>
      <w:sz w:val="18"/>
      <w:szCs w:val="18"/>
    </w:rPr>
  </w:style>
  <w:style w:type="paragraph" w:customStyle="1" w:styleId="28">
    <w:name w:val="Decimal Aligned"/>
    <w:basedOn w:val="1"/>
    <w:qFormat/>
    <w:uiPriority w:val="99"/>
    <w:pPr>
      <w:tabs>
        <w:tab w:val="decimal" w:pos="360"/>
      </w:tabs>
      <w:spacing w:after="200" w:line="276" w:lineRule="auto"/>
    </w:pPr>
    <w:rPr>
      <w:sz w:val="22"/>
      <w:szCs w:val="22"/>
    </w:rPr>
  </w:style>
  <w:style w:type="paragraph" w:customStyle="1" w:styleId="29">
    <w:name w:val="列出段落1"/>
    <w:basedOn w:val="1"/>
    <w:qFormat/>
    <w:uiPriority w:val="99"/>
    <w:pPr>
      <w:ind w:firstLine="420" w:firstLineChars="200"/>
    </w:pPr>
  </w:style>
  <w:style w:type="table" w:customStyle="1" w:styleId="30">
    <w:name w:val="浅色底纹 - 强调文字颜色 11"/>
    <w:qFormat/>
    <w:uiPriority w:val="99"/>
    <w:rPr>
      <w:color w:val="365F90"/>
      <w:sz w:val="22"/>
      <w:szCs w:val="22"/>
    </w:rPr>
    <w:tblPr>
      <w:tblBorders>
        <w:top w:val="single" w:color="4F81BD" w:sz="8" w:space="0"/>
        <w:bottom w:val="single" w:color="4F81BD" w:sz="8" w:space="0"/>
      </w:tblBorders>
      <w:tblLayout w:type="fixed"/>
      <w:tblCellMar>
        <w:top w:w="0" w:type="dxa"/>
        <w:left w:w="108" w:type="dxa"/>
        <w:bottom w:w="0" w:type="dxa"/>
        <w:right w:w="108" w:type="dxa"/>
      </w:tblCellMar>
    </w:tblPr>
  </w:style>
  <w:style w:type="character" w:customStyle="1" w:styleId="31">
    <w:name w:val="批注框文本 字符"/>
    <w:basedOn w:val="11"/>
    <w:link w:val="6"/>
    <w:semiHidden/>
    <w:qFormat/>
    <w:locked/>
    <w:uiPriority w:val="99"/>
    <w:rPr>
      <w:rFonts w:ascii="Calibri" w:hAnsi="Calibri" w:cs="Calibri"/>
      <w:sz w:val="18"/>
      <w:szCs w:val="18"/>
    </w:rPr>
  </w:style>
  <w:style w:type="character" w:customStyle="1" w:styleId="32">
    <w:name w:val="未处理的提及1"/>
    <w:basedOn w:val="11"/>
    <w:semiHidden/>
    <w:unhideWhenUsed/>
    <w:qFormat/>
    <w:uiPriority w:val="99"/>
    <w:rPr>
      <w:color w:val="808080"/>
      <w:shd w:val="clear" w:color="auto" w:fill="E6E6E6"/>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5</Pages>
  <Words>560</Words>
  <Characters>3194</Characters>
  <Lines>26</Lines>
  <Paragraphs>7</Paragraphs>
  <TotalTime>262</TotalTime>
  <ScaleCrop>false</ScaleCrop>
  <LinksUpToDate>false</LinksUpToDate>
  <CharactersWithSpaces>3747</CharactersWithSpaces>
  <Application>WPS Office_10.1.0.7346_F1E327BC-269C-435d-A152-05C5408002CA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2018-04-03T09:27:00Z</dcterms:created>
  <dc:creator>admin</dc:creator>
  <cp:lastModifiedBy>文文文</cp:lastModifiedBy>
  <cp:lastPrinted>2018-04-23T07:29:00Z</cp:lastPrinted>
  <dcterms:modified xsi:type="dcterms:W3CDTF">2018-05-18T07:41:34Z</dcterms:modified>
  <dc:title>中国现场统计研究会空间统计学会</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2052-10.1.0.7346</vt:lpwstr>
  </property>
</Properties>
</file>